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6"/>
        <w:numPr>
          <w:ilvl w:val="0"/>
          <w:numId w:val="24"/>
        </w:numPr>
        <w:ind w:left="360" w:hanging="360"/>
      </w:pPr>
      <w:r>
        <w:t>Obsah</w:t>
      </w:r>
    </w:p>
    <w:p>
      <w:pPr>
        <w:pStyle w:val="para17"/>
        <w:tabs defTabSz="708">
          <w:tab w:val="right" w:pos="8827" w:leader="dot"/>
        </w:tabs>
        <w:rPr>
          <w:kern w:val="1"/>
          <w:sz w:val="24"/>
          <w:szCs w:val="24"/>
          <w:lang w:eastAsia="cs-cz"/>
        </w:rPr>
      </w:pPr>
      <w:r>
        <w:rPr>
          <w:kern w:val="1"/>
          <w:sz w:val="24"/>
          <w:szCs w:val="24"/>
          <w:lang w:eastAsia="cs-cz"/>
        </w:rPr>
        <w:fldChar w:fldCharType="begin"/>
      </w:r>
      <w:r>
        <w:rPr>
          <w:kern w:val="1"/>
          <w:sz w:val="24"/>
          <w:szCs w:val="24"/>
          <w:lang w:eastAsia="cs-cz"/>
        </w:rPr>
        <w:instrText xml:space="preserve"> TOC \o \z \h </w:instrText>
      </w:r>
      <w:r>
        <w:rPr>
          <w:kern w:val="1"/>
          <w:sz w:val="24"/>
          <w:szCs w:val="24"/>
          <w:lang w:eastAsia="cs-cz"/>
        </w:rPr>
        <w:fldChar w:fldCharType="separate"/>
      </w:r>
      <w:hyperlink w:anchor="_Toc218856661" w:history="1">
        <w:r>
          <w:rPr>
            <w:rStyle w:val="char21"/>
            <w:color w:val="auto"/>
            <w:u w:color="auto" w:val="none"/>
          </w:rPr>
          <w:t>Úvod</w:t>
        </w:r>
        <w:r>
          <w:tab/>
        </w:r>
        <w:r>
          <w:fldChar w:fldCharType="begin"/>
          <w:instrText xml:space="preserve"> PAGEREF _Toc218856661 \h \* Arabic </w:instrText>
          <w:fldChar w:fldCharType="separate"/>
          <w:t>2</w:t>
          <w:fldChar w:fldCharType="end"/>
        </w:r>
      </w:hyperlink>
    </w:p>
    <w:p>
      <w:pPr>
        <w:pStyle w:val="para17"/>
        <w:tabs defTabSz="708">
          <w:tab w:val="right" w:pos="8827" w:leader="dot"/>
        </w:tabs>
        <w:rPr>
          <w:kern w:val="1"/>
          <w:sz w:val="24"/>
          <w:szCs w:val="24"/>
          <w:lang w:eastAsia="cs-cz"/>
        </w:rPr>
      </w:pPr>
      <w:hyperlink w:anchor="_Toc218856662" w:history="1">
        <w:r>
          <w:rPr>
            <w:rStyle w:val="char21"/>
            <w:color w:val="auto"/>
            <w:u w:color="auto" w:val="none"/>
          </w:rPr>
          <w:t>Historie olympijských her</w:t>
        </w:r>
        <w:r>
          <w:tab/>
        </w:r>
        <w:r>
          <w:fldChar w:fldCharType="begin"/>
          <w:instrText xml:space="preserve"> PAGEREF _Toc218856662 \h \* Arabic </w:instrText>
          <w:fldChar w:fldCharType="separate"/>
          <w:t>4</w:t>
          <w:fldChar w:fldCharType="end"/>
        </w:r>
      </w:hyperlink>
    </w:p>
    <w:p>
      <w:pPr>
        <w:pStyle w:val="para18"/>
        <w:tabs defTabSz="708">
          <w:tab w:val="right" w:pos="8827" w:leader="dot"/>
        </w:tabs>
        <w:rPr>
          <w:kern w:val="1"/>
          <w:sz w:val="24"/>
          <w:szCs w:val="24"/>
          <w:lang w:eastAsia="cs-cz"/>
        </w:rPr>
      </w:pPr>
      <w:hyperlink w:anchor="_Toc218856663" w:history="1">
        <w:r>
          <w:rPr>
            <w:rStyle w:val="char21"/>
            <w:color w:val="auto"/>
            <w:u w:color="auto" w:val="none"/>
          </w:rPr>
          <w:t>Novořecké a novodobé olympijské hry</w:t>
        </w:r>
        <w:r>
          <w:tab/>
        </w:r>
        <w:r>
          <w:fldChar w:fldCharType="begin"/>
          <w:instrText xml:space="preserve"> PAGEREF _Toc218856663 \h \* Arabic </w:instrText>
          <w:fldChar w:fldCharType="separate"/>
          <w:t>4</w:t>
          <w:fldChar w:fldCharType="end"/>
        </w:r>
      </w:hyperlink>
    </w:p>
    <w:p>
      <w:pPr>
        <w:pStyle w:val="para17"/>
        <w:tabs defTabSz="708">
          <w:tab w:val="right" w:pos="8827" w:leader="dot"/>
        </w:tabs>
        <w:rPr>
          <w:kern w:val="1"/>
          <w:sz w:val="24"/>
          <w:szCs w:val="24"/>
          <w:lang w:eastAsia="cs-cz"/>
        </w:rPr>
      </w:pPr>
      <w:hyperlink w:anchor="_Toc218856664" w:history="1">
        <w:r>
          <w:rPr>
            <w:rStyle w:val="char21"/>
            <w:color w:val="auto"/>
            <w:u w:color="auto" w:val="none"/>
          </w:rPr>
          <w:t>Statistiky</w:t>
        </w:r>
        <w:r>
          <w:tab/>
        </w:r>
        <w:r>
          <w:fldChar w:fldCharType="begin"/>
          <w:instrText xml:space="preserve"> PAGEREF _Toc218856664 \h \* Arabic </w:instrText>
          <w:fldChar w:fldCharType="separate"/>
          <w:t>5</w:t>
          <w:fldChar w:fldCharType="end"/>
        </w:r>
      </w:hyperlink>
    </w:p>
    <w:p>
      <w:pPr>
        <w:pStyle w:val="para18"/>
        <w:tabs defTabSz="708">
          <w:tab w:val="right" w:pos="8827" w:leader="dot"/>
        </w:tabs>
        <w:rPr>
          <w:kern w:val="1"/>
          <w:sz w:val="24"/>
          <w:szCs w:val="24"/>
          <w:lang w:eastAsia="cs-cz"/>
        </w:rPr>
      </w:pPr>
      <w:hyperlink w:anchor="_Toc218856665" w:history="1">
        <w:r>
          <w:rPr>
            <w:rStyle w:val="char21"/>
            <w:color w:val="auto"/>
            <w:u w:color="auto" w:val="none"/>
          </w:rPr>
          <w:t>Nejúspěšnější země s medailemi</w:t>
        </w:r>
        <w:r>
          <w:tab/>
        </w:r>
        <w:r>
          <w:fldChar w:fldCharType="begin"/>
          <w:instrText xml:space="preserve"> PAGEREF _Toc218856665 \h \* Arabic </w:instrText>
          <w:fldChar w:fldCharType="separate"/>
          <w:t>5</w:t>
          <w:fldChar w:fldCharType="end"/>
        </w:r>
      </w:hyperlink>
    </w:p>
    <w:p>
      <w:pPr>
        <w:pStyle w:val="para18"/>
        <w:tabs defTabSz="708">
          <w:tab w:val="right" w:pos="8827" w:leader="dot"/>
        </w:tabs>
        <w:rPr>
          <w:kern w:val="1"/>
          <w:sz w:val="24"/>
          <w:szCs w:val="24"/>
          <w:lang w:eastAsia="cs-cz"/>
        </w:rPr>
      </w:pPr>
      <w:hyperlink w:anchor="_Toc218856666" w:history="1">
        <w:r>
          <w:rPr>
            <w:rStyle w:val="char21"/>
            <w:color w:val="auto"/>
            <w:u w:color="auto" w:val="none"/>
          </w:rPr>
          <w:t>Některé týmy bez státní příslušnosti</w:t>
        </w:r>
        <w:r>
          <w:tab/>
        </w:r>
        <w:r>
          <w:fldChar w:fldCharType="begin"/>
          <w:instrText xml:space="preserve"> PAGEREF _Toc218856666 \h \* Arabic </w:instrText>
          <w:fldChar w:fldCharType="separate"/>
          <w:t>5</w:t>
          <w:fldChar w:fldCharType="end"/>
        </w:r>
      </w:hyperlink>
    </w:p>
    <w:p>
      <w:pPr>
        <w:pStyle w:val="para18"/>
        <w:tabs defTabSz="708">
          <w:tab w:val="right" w:pos="8827" w:leader="dot"/>
        </w:tabs>
        <w:rPr>
          <w:kern w:val="1"/>
          <w:sz w:val="24"/>
          <w:szCs w:val="24"/>
          <w:lang w:eastAsia="cs-cz"/>
        </w:rPr>
      </w:pPr>
      <w:hyperlink w:anchor="_Toc218856667" w:history="1">
        <w:r>
          <w:rPr>
            <w:rStyle w:val="char21"/>
            <w:color w:val="auto"/>
            <w:u w:color="auto" w:val="none"/>
          </w:rPr>
          <w:t>Plánované OH</w:t>
        </w:r>
        <w:r>
          <w:tab/>
        </w:r>
        <w:r>
          <w:fldChar w:fldCharType="begin"/>
          <w:instrText xml:space="preserve"> PAGEREF _Toc218856667 \h \* Arabic </w:instrText>
          <w:fldChar w:fldCharType="separate"/>
          <w:t>5</w:t>
          <w:fldChar w:fldCharType="end"/>
        </w:r>
      </w:hyperlink>
    </w:p>
    <w:p>
      <w:pPr>
        <w:pStyle w:val="para18"/>
        <w:tabs defTabSz="708">
          <w:tab w:val="right" w:pos="8827" w:leader="dot"/>
        </w:tabs>
        <w:rPr>
          <w:kern w:val="1"/>
          <w:sz w:val="24"/>
          <w:szCs w:val="24"/>
          <w:lang w:eastAsia="cs-cz"/>
        </w:rPr>
      </w:pPr>
      <w:hyperlink w:anchor="_Toc218856668" w:history="1">
        <w:r>
          <w:rPr>
            <w:rStyle w:val="char21"/>
            <w:color w:val="auto"/>
            <w:u w:color="auto" w:val="none"/>
          </w:rPr>
          <w:t>Tabulka počtu zlatých medailí</w:t>
        </w:r>
        <w:r>
          <w:tab/>
        </w:r>
        <w:r>
          <w:fldChar w:fldCharType="begin"/>
          <w:instrText xml:space="preserve"> PAGEREF _Toc218856668 \h \* Arabic </w:instrText>
          <w:fldChar w:fldCharType="separate"/>
          <w:t>5</w:t>
          <w:fldChar w:fldCharType="end"/>
        </w:r>
      </w:hyperlink>
    </w:p>
    <w:p>
      <w:pPr>
        <w:pStyle w:val="para17"/>
        <w:tabs defTabSz="708">
          <w:tab w:val="right" w:pos="8827" w:leader="dot"/>
        </w:tabs>
        <w:rPr>
          <w:kern w:val="1"/>
          <w:sz w:val="24"/>
          <w:szCs w:val="24"/>
          <w:lang w:eastAsia="cs-cz"/>
        </w:rPr>
      </w:pPr>
      <w:hyperlink w:anchor="_Toc218856669" w:history="1">
        <w:r>
          <w:rPr>
            <w:rStyle w:val="char21"/>
            <w:color w:val="auto"/>
            <w:u w:color="auto" w:val="none"/>
          </w:rPr>
          <w:t>Olympijský ceremoniál</w:t>
        </w:r>
        <w:r>
          <w:tab/>
        </w:r>
        <w:r>
          <w:fldChar w:fldCharType="begin"/>
          <w:instrText xml:space="preserve"> PAGEREF _Toc218856669 \h \* Arabic </w:instrText>
          <w:fldChar w:fldCharType="separate"/>
          <w:t>7</w:t>
          <w:fldChar w:fldCharType="end"/>
        </w:r>
      </w:hyperlink>
    </w:p>
    <w:p>
      <w:pPr>
        <w:pStyle w:val="para17"/>
        <w:tabs defTabSz="708">
          <w:tab w:val="right" w:pos="8827" w:leader="dot"/>
        </w:tabs>
        <w:rPr>
          <w:kern w:val="1"/>
          <w:sz w:val="24"/>
          <w:szCs w:val="24"/>
          <w:lang w:eastAsia="cs-cz"/>
        </w:rPr>
      </w:pPr>
      <w:hyperlink w:anchor="_Toc218856670" w:history="1">
        <w:r>
          <w:rPr>
            <w:rStyle w:val="char21"/>
            <w:color w:val="auto"/>
            <w:u w:color="auto" w:val="none"/>
          </w:rPr>
          <w:t>Olympijské symboly</w:t>
        </w:r>
        <w:r>
          <w:tab/>
        </w:r>
        <w:r>
          <w:fldChar w:fldCharType="begin"/>
          <w:instrText xml:space="preserve"> PAGEREF _Toc218856670 \h \* Arabic </w:instrText>
          <w:fldChar w:fldCharType="separate"/>
          <w:t>8</w:t>
          <w:fldChar w:fldCharType="end"/>
        </w:r>
      </w:hyperlink>
    </w:p>
    <w:p>
      <w:pPr>
        <w:pStyle w:val="para17"/>
        <w:tabs defTabSz="708">
          <w:tab w:val="right" w:pos="8827" w:leader="dot"/>
        </w:tabs>
        <w:rPr>
          <w:kern w:val="1"/>
          <w:sz w:val="24"/>
          <w:szCs w:val="24"/>
          <w:lang w:eastAsia="cs-cz"/>
        </w:rPr>
      </w:pPr>
      <w:hyperlink w:anchor="_Toc218856671" w:history="1">
        <w:r>
          <w:rPr>
            <w:rStyle w:val="char21"/>
            <w:color w:val="auto"/>
            <w:u w:color="auto" w:val="none"/>
          </w:rPr>
          <w:t>Závěr</w:t>
        </w:r>
        <w:r>
          <w:tab/>
        </w:r>
        <w:r>
          <w:fldChar w:fldCharType="begin"/>
          <w:instrText xml:space="preserve"> PAGEREF _Toc218856671 \h \* Arabic </w:instrText>
          <w:fldChar w:fldCharType="separate"/>
          <w:t>9</w:t>
          <w:fldChar w:fldCharType="end"/>
        </w:r>
      </w:hyperlink>
    </w:p>
    <w:p>
      <w:r>
        <w:fldChar w:fldCharType="end"/>
      </w:r>
      <w:r/>
    </w:p>
    <w:p>
      <w:pPr>
        <w:pStyle w:val="para1"/>
        <w:numPr>
          <w:ilvl w:val="0"/>
          <w:numId w:val="25"/>
        </w:numPr>
        <w:ind w:left="360" w:hanging="360"/>
      </w:pPr>
      <w:bookmarkStart w:id="0" w:name="_Toc218856661"/>
      <w:r>
        <w:t>Úvod</w:t>
      </w:r>
      <w:bookmarkEnd w:id="0"/>
      <w:r/>
    </w:p>
    <w:p>
      <w:pPr>
        <w:pStyle w:val="para2"/>
        <w:numPr>
          <w:ilvl w:val="0"/>
          <w:numId w:val="25"/>
        </w:numPr>
        <w:ind w:left="360" w:hanging="360"/>
      </w:pPr>
      <w:r>
        <w:t>Olympijské hry</w:t>
      </w:r>
    </w:p>
    <w:p>
      <w:pPr>
        <w:ind w:firstLine="567"/>
        <w:spacing w:line="360" w:lineRule="auto"/>
        <w:jc w:val="both"/>
        <w:keepLines/>
        <w:pBdr>
          <w:top w:val="single" w:sz="8" w:space="1" w:color="000000" tmln="20, 20, 20, 0, 20"/>
          <w:left w:val="single" w:sz="8" w:space="4" w:color="000000" tmln="20, 20, 20, 0, 80"/>
          <w:bottom w:val="single" w:sz="8" w:space="1" w:color="000000" tmln="20, 20, 20, 0, 20"/>
          <w:right w:val="single" w:sz="8" w:space="4" w:color="000000" tmln="20, 20, 20, 0, 80"/>
          <w:between w:val="nil" w:sz="0" w:space="0" w:color="000000" tmln="20, 20, 20, 0, 0"/>
        </w:pBdr>
        <w:shd w:val="solid" w:color="ED7D31" tmshd="1677721856, 0, 3243501"/>
        <w:rPr>
          <w:rFonts w:ascii="Times New Roman" w:hAnsi="Times New Roman" w:cs="Times New Roman"/>
          <w:color w:val="002060"/>
          <w:sz w:val="24"/>
          <w:szCs w:val="24"/>
        </w:rPr>
      </w:pPr>
      <w:r>
        <w:rPr>
          <w:rFonts w:ascii="Times New Roman" w:hAnsi="Times New Roman" w:cs="Times New Roman"/>
          <w:b/>
          <w:bCs/>
          <w:color w:val="002060"/>
          <w:sz w:val="24"/>
          <w:szCs w:val="24"/>
        </w:rPr>
        <w:t>OLYMPIJSKÉ HRY</w:t>
      </w:r>
      <w:r>
        <w:rPr>
          <w:rFonts w:ascii="Times New Roman" w:hAnsi="Times New Roman" w:cs="Times New Roman"/>
          <w:color w:val="002060"/>
          <w:sz w:val="24"/>
          <w:szCs w:val="24"/>
        </w:rPr>
        <w:t xml:space="preserve"> JSOU HROMADNÁ MEZINÁRODNÍ SPORTOVNÍ SOUTĚŽ V MNOHA RŮZNÝCH DISCIPLÍNÁCH A SPORTECH, ZA ÚČASTI SPORTOVCŮ Z CELÉHO SVĚTA, KTERÉ SE POŘÁDAJÍ JEDNOU ZA ČTYŘI ROKY (TOTO OBDOBÍ MEZI JEDNOTLIVÝMI HRAMI SE NAZÝVÁ „</w:t>
      </w:r>
      <w:r>
        <w:rPr>
          <w:rFonts w:ascii="Times New Roman" w:hAnsi="Times New Roman" w:cs="Times New Roman"/>
          <w:i/>
          <w:iCs/>
          <w:color w:val="002060"/>
          <w:sz w:val="24"/>
          <w:szCs w:val="24"/>
        </w:rPr>
        <w:t>OLYMPIÁDA</w:t>
      </w:r>
      <w:r>
        <w:rPr>
          <w:rFonts w:ascii="Times New Roman" w:hAnsi="Times New Roman" w:cs="Times New Roman"/>
          <w:color w:val="002060"/>
          <w:sz w:val="24"/>
          <w:szCs w:val="24"/>
        </w:rPr>
        <w:t>“).</w:t>
      </w:r>
    </w:p>
    <w:p>
      <w:pPr>
        <w:pStyle w:val="para20"/>
      </w:pPr>
      <w:r>
        <w:t xml:space="preserve">Letní i zimní olympijské hry se konají jednou za 4 roky. Až do roku 1992 se konaly vždy ve stejný rok, v současnosti jsou termíny her posunuty tak, aby se po dvou letech vystřídaly. </w:t>
      </w:r>
    </w:p>
    <w:p>
      <w:pPr>
        <w:pStyle w:val="para20"/>
      </w:pPr>
      <w:r>
        <w:t>Samostatná, avšak organizačně částečně přidružená je šachová olympiáda. Od roku 2010 jsou také oficiálně pořádány i letní olympijské hry mládeže, od roku 2012 pak zimní olympijské hry mládeže.</w:t>
      </w:r>
    </w:p>
    <w:p>
      <w:pPr>
        <w:pStyle w:val="para20"/>
      </w:pPr>
      <w:r>
        <w:t xml:space="preserve">Olympijskou myšlenku zformuloval Pierre de Coubertin ve svém díle Antický ideál tělesné krásy a duchovní dokonalosti – tzv. kalokagathía – posvátný mír (ekecheiría), slavnostní obřady při zahájení antických olympijských her ožívají v nové formě při dnešních OH obohaceny o požadavek rovnoprávnosti všech sportovců bez rasové, politické a náboženské diskriminace, o požadavek demokracie a internacionalismu. Dnešní olympijská myšlenka je v podstatě vyjádřena v základním článku Olympijské charty. Antické olympijské hry avšak byly méně idealistické. </w:t>
      </w:r>
    </w:p>
    <w:p>
      <w:pPr>
        <w:pStyle w:val="para20"/>
      </w:pPr>
      <w:r>
        <w:t>Svého předchůdce a vzor mají v antických olympijských hrách, konaných ve starém Řecku v Olympii na poloostrově Peloponés. Jejich zakladatelem byl podle pověsti Hérakles.</w:t>
      </w:r>
    </w:p>
    <w:p>
      <w:pPr>
        <w:pStyle w:val="para20"/>
      </w:pPr>
      <w:r>
        <w:t>Šachová olympiáda</w:t>
      </w:r>
    </w:p>
    <w:p>
      <w:pPr>
        <w:pStyle w:val="para20"/>
      </w:pPr>
      <w:r>
        <w:t>Částečně přidružená je i Šachová olympiáda (https://www.chess.cz/reprezentace/reprezentacni-ucasti/sachova-olympiada-druzstev/). Soutěž národních týmů od roku 1927 se dvěma výjimkami organizovaná Mezinárodní šachovou federací FIDE. I když je FIDE členkou Mezinárodního olympijského výboru, nejde o součást běžných Olympijských her, ale o nezávislou sportovní soutěž. V otevřené kategorii mohou startovat muži i ženy.</w:t>
      </w:r>
    </w:p>
    <w:p>
      <w:pPr>
        <w:pStyle w:val="para20"/>
      </w:pPr>
      <w:r>
        <w:t>Otevřená soutěž se od roku 1950 pořádá pravidelně v sudých letech. V letech 1957 až1974 se konalo pět olympiád pouze pro ženská družstva. V roce 1972 a od roku 1976 je olympiáda organizována formou dvou turnajů v jednom místě pro otevřenou kategorii a pro ženské týmy.</w:t>
      </w:r>
    </w:p>
    <w:p>
      <w:pPr>
        <w:pStyle w:val="para20"/>
      </w:pPr>
      <w:r>
        <w:t>Olympijské hry mládeže</w:t>
      </w:r>
    </w:p>
    <w:p>
      <w:pPr>
        <w:pStyle w:val="para20"/>
      </w:pPr>
      <w:r>
        <w:t>Olympiády ve školách</w:t>
      </w:r>
    </w:p>
    <w:p>
      <w:pPr>
        <w:pStyle w:val="para20"/>
      </w:pPr>
      <w:r>
        <w:t>Pod pojmem olympiáda si nutně nemusíme představit jen sportovní disciplíny. Ve školách lze soutěžit v celé řadě olympiád (matematická, fyzikální, chemická, biologická aj.). Podívejte se, jak může vypadat takový příklad z matematické olympiády.</w:t>
      </w:r>
    </w:p>
    <w:p>
      <w:pPr>
        <w:pStyle w:val="para20"/>
      </w:pPr>
      <w:r>
        <w:t xml:space="preserve">Příklad: V reálném oboru uvažujme soustavu rovnic </w:t>
      </w:r>
    </w:p>
    <w:p>
      <w:pPr>
        <w:pStyle w:val="para20"/>
      </w:pPr>
      <w:r>
        <w:t>s nenulovým reálným parametrem a. Dokažte, že pro libovolné řešení (x, y) této soustavy platí x^2+abs(y) ≥ 4. Kdy v této nerovnosti nastane rovnost?</w:t>
      </w:r>
    </w:p>
    <w:p>
      <w:pPr>
        <w:pStyle w:val="para1"/>
        <w:numPr>
          <w:ilvl w:val="0"/>
          <w:numId w:val="26"/>
        </w:numPr>
        <w:ind w:left="360" w:hanging="360"/>
      </w:pPr>
      <w:bookmarkStart w:id="1" w:name="_Toc218856662"/>
      <w:r>
        <w:t>Historie olympijských her</w:t>
      </w:r>
      <w:bookmarkEnd w:id="1"/>
      <w:r/>
    </w:p>
    <w:p>
      <w:pPr>
        <w:pStyle w:val="para2"/>
        <w:numPr>
          <w:ilvl w:val="0"/>
          <w:numId w:val="26"/>
        </w:numPr>
        <w:ind w:left="360" w:hanging="360"/>
      </w:pPr>
      <w:bookmarkStart w:id="2" w:name="_Toc218856663"/>
      <w:r>
        <w:t>Novořecké a novodobé olympijské hry</w:t>
      </w:r>
      <w:bookmarkEnd w:id="2"/>
      <w:r/>
    </w:p>
    <w:p>
      <w:pPr>
        <w:sectPr>
          <w:footnotePr>
            <w:pos w:val="pageBottom"/>
            <w:numFmt w:val="decimal"/>
            <w:numStart w:val="1"/>
            <w:numRestart w:val="continuous"/>
          </w:footnotePr>
          <w:endnotePr>
            <w:pos w:val="docEnd"/>
            <w:numFmt w:val="lowerRoman"/>
            <w:numStart w:val="1"/>
            <w:numRestart w:val="continuous"/>
          </w:endnotePr>
          <w:type w:val="nextPage"/>
          <w:pgSz w:h="15840" w:w="12240"/>
          <w:pgMar w:left="1985" w:top="1701" w:right="1418" w:bottom="1701"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20"/>
      </w:pPr>
      <w:r>
        <w:t xml:space="preserve">15. listopadu 1859 se v Athénách 20 000 diváků stalo svědky sportovních klání 300 soutěžících na prvních novořeckých olympijských hrách. Hlavní zásluhu na jejich uspořádání měl hrdina osvobozovacích bojů, Evangelos Zappas, který jejich organizaci věnoval nejen značné úsilí, ale i celý svůj majetek. Myšlenka uspořádat novořecké olympijské hry se zrodila v Pyrgu. Bylo to krátce po osvobození Řecka z turecké nadvlády, kdy se místní městská rada rozhodla pro obnovení her přímo v Olympii. Měly se konat každé čtyři roky 25. března, tj. na Den řecké nezávislosti. </w:t>
      </w:r>
    </w:p>
    <w:p>
      <w:pPr>
        <w:pStyle w:val="para20"/>
      </w:pPr>
      <w:r>
        <w:br w:type="column"/>
      </w:r>
      <w:r>
        <w:t xml:space="preserve">Nepříznivé podmínky v Olympii (bažinaté území plné komáru představovalo velkou hrozbu malárie) vedly k tomu, že se nakonec hry konaly až v listopadu a v Aténách. Hry se pak konaly ještě v letech 1870, 75 a 89. Pierre de Coubertin se několik let věnoval studiu tělovýchovných systémů v anglosaském světě. Své poznatky zpracoval v několika knihách a zároveň usiloval o jejich začlenění do francouzského výchovného systému. Když viděl, že jeho literární činnost nevzbudila dostatečný zájem, rozhodl se přejít k činům. V roce 1888 se rozhodl, že obnoví olympijské hry. </w:t>
      </w:r>
    </w:p>
    <w:p>
      <w:pPr>
        <w:pStyle w:val="para20"/>
      </w:pPr>
      <w:r>
        <w:t>Okamžitě začal pro tento záměr shánět podporu v okruhu svých známých přátel a 25. listopadu 1892 vystoupil s touto myšlenkou veřejně na schůzi k 5. výročí založení Francouzské unie atletických sportů. V roce 1896 se tak konaly v Aténách první novodobé olympijské hry.</w:t>
      </w:r>
    </w:p>
    <w:p>
      <w:pPr>
        <w:sectPr>
          <w:footnotePr>
            <w:pos w:val="pageBottom"/>
            <w:numFmt w:val="decimal"/>
            <w:numStart w:val="1"/>
            <w:numRestart w:val="continuous"/>
          </w:footnotePr>
          <w:endnotePr>
            <w:pos w:val="docEnd"/>
            <w:numFmt w:val="lowerRoman"/>
            <w:numStart w:val="1"/>
            <w:numRestart w:val="continuous"/>
          </w:endnotePr>
          <w:type w:val="continuous"/>
          <w:pgSz w:h="15840" w:w="12240"/>
          <w:pgMar w:left="1985" w:top="1701" w:right="1418" w:bottom="1701"/>
          <w:paperSrc w:first="0" w:other="0" a="0" b="0"/>
          <w:pgNumType w:fmt="decimal"/>
          <w:cols w:num="2" w:equalWidth="0" w:space="899" w:sep="1">
            <w:col w:w="2835" w:space="899"/>
            <w:col w:w="5103"/>
            <w:columnSep w:val="single" w:sz="8" w:space="0" w:color="000000" tmln="20, 20, 20, 0, 0"/>
          </w:cols>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numPr>
          <w:ilvl w:val="0"/>
          <w:numId w:val="27"/>
        </w:numPr>
        <w:ind w:left="360" w:hanging="360"/>
      </w:pPr>
      <w:bookmarkStart w:id="3" w:name="_Toc218856664"/>
      <w:r>
        <w:t>Statistiky</w:t>
      </w:r>
      <w:bookmarkEnd w:id="3"/>
      <w:r/>
    </w:p>
    <w:p>
      <w:pPr>
        <w:pStyle w:val="para2"/>
        <w:numPr>
          <w:ilvl w:val="0"/>
          <w:numId w:val="27"/>
        </w:numPr>
        <w:ind w:left="360" w:hanging="360"/>
      </w:pPr>
      <w:bookmarkStart w:id="4" w:name="_Toc218856665"/>
      <w:r>
        <w:t>Nejúspěšnější země s medailemi</w:t>
      </w:r>
      <w:bookmarkEnd w:id="4"/>
      <w:r/>
    </w:p>
    <w:p>
      <w:pPr>
        <w:pStyle w:val="para20"/>
        <w:numPr>
          <w:ilvl w:val="0"/>
          <w:numId w:val="13"/>
        </w:numPr>
        <w:ind w:left="1068" w:hanging="360"/>
      </w:pPr>
      <w:r>
        <w:t>Podle počtu zlatých medailí</w:t>
      </w:r>
    </w:p>
    <w:p>
      <w:pPr>
        <w:pStyle w:val="para20"/>
        <w:numPr>
          <w:ilvl w:val="0"/>
          <w:numId w:val="14"/>
        </w:numPr>
        <w:ind w:left="1776" w:hanging="360"/>
      </w:pPr>
      <w:r>
        <w:t xml:space="preserve">Spojené státy americké </w:t>
      </w:r>
    </w:p>
    <w:p>
      <w:pPr>
        <w:pStyle w:val="para20"/>
        <w:numPr>
          <w:ilvl w:val="0"/>
          <w:numId w:val="14"/>
        </w:numPr>
        <w:ind w:left="1776" w:hanging="360"/>
      </w:pPr>
      <w:r>
        <w:t xml:space="preserve">Sovětský svaz </w:t>
      </w:r>
    </w:p>
    <w:p>
      <w:pPr>
        <w:pStyle w:val="para20"/>
        <w:numPr>
          <w:ilvl w:val="0"/>
          <w:numId w:val="14"/>
        </w:numPr>
        <w:ind w:left="1776" w:hanging="360"/>
      </w:pPr>
      <w:r>
        <w:t>Německo</w:t>
      </w:r>
    </w:p>
    <w:p>
      <w:pPr>
        <w:pStyle w:val="para20"/>
        <w:numPr>
          <w:ilvl w:val="0"/>
          <w:numId w:val="15"/>
        </w:numPr>
        <w:ind w:left="1068" w:hanging="360"/>
      </w:pPr>
      <w:r>
        <w:t>Podle počtu stříbrných medailí</w:t>
      </w:r>
    </w:p>
    <w:p>
      <w:pPr>
        <w:pStyle w:val="para20"/>
        <w:numPr>
          <w:ilvl w:val="0"/>
          <w:numId w:val="16"/>
        </w:numPr>
        <w:ind w:left="1776" w:hanging="360"/>
      </w:pPr>
      <w:r>
        <w:t>Spojené státy americké</w:t>
      </w:r>
    </w:p>
    <w:p>
      <w:pPr>
        <w:pStyle w:val="para20"/>
        <w:numPr>
          <w:ilvl w:val="0"/>
          <w:numId w:val="16"/>
        </w:numPr>
        <w:ind w:left="1776" w:hanging="360"/>
      </w:pPr>
      <w:r>
        <w:t>Sovětský svaz</w:t>
      </w:r>
    </w:p>
    <w:p>
      <w:pPr>
        <w:pStyle w:val="para20"/>
        <w:numPr>
          <w:ilvl w:val="0"/>
          <w:numId w:val="16"/>
        </w:numPr>
        <w:ind w:left="1776" w:hanging="360"/>
      </w:pPr>
      <w:r>
        <w:t>Velká Británie</w:t>
      </w:r>
    </w:p>
    <w:p>
      <w:pPr>
        <w:pStyle w:val="para20"/>
        <w:numPr>
          <w:ilvl w:val="0"/>
          <w:numId w:val="17"/>
        </w:numPr>
        <w:ind w:left="1068" w:hanging="360"/>
      </w:pPr>
      <w:r>
        <w:t>Podle počtu bronzových medailí</w:t>
      </w:r>
    </w:p>
    <w:p>
      <w:pPr>
        <w:pStyle w:val="para20"/>
        <w:numPr>
          <w:ilvl w:val="0"/>
          <w:numId w:val="18"/>
        </w:numPr>
        <w:ind w:left="1776" w:hanging="360"/>
      </w:pPr>
      <w:r>
        <w:t>Spojené státy americké</w:t>
      </w:r>
    </w:p>
    <w:p>
      <w:pPr>
        <w:pStyle w:val="para20"/>
        <w:numPr>
          <w:ilvl w:val="0"/>
          <w:numId w:val="18"/>
        </w:numPr>
        <w:ind w:left="1776" w:hanging="360"/>
      </w:pPr>
      <w:r>
        <w:t>Sovětský svaz</w:t>
      </w:r>
    </w:p>
    <w:p>
      <w:pPr>
        <w:pStyle w:val="para20"/>
        <w:numPr>
          <w:ilvl w:val="0"/>
          <w:numId w:val="18"/>
        </w:numPr>
        <w:ind w:left="1776" w:hanging="360"/>
      </w:pPr>
      <w:r>
        <w:t>Francie</w:t>
      </w:r>
    </w:p>
    <w:p>
      <w:pPr>
        <w:pStyle w:val="para2"/>
        <w:numPr>
          <w:ilvl w:val="0"/>
          <w:numId w:val="28"/>
        </w:numPr>
        <w:ind w:left="360" w:hanging="360"/>
      </w:pPr>
      <w:bookmarkStart w:id="5" w:name="_Toc218856666"/>
      <w:r>
        <w:t>Některé týmy bez státní příslušnosti</w:t>
      </w:r>
      <w:bookmarkEnd w:id="5"/>
      <w:r/>
    </w:p>
    <w:p>
      <w:pPr>
        <w:pStyle w:val="para20"/>
        <w:numPr>
          <w:ilvl w:val="0"/>
          <w:numId w:val="1"/>
        </w:numPr>
        <w:ind w:left="360" w:firstLine="0"/>
      </w:pPr>
      <w:r>
        <w:t>Sjednocený tým</w:t>
      </w:r>
    </w:p>
    <w:p>
      <w:pPr>
        <w:pStyle w:val="para20"/>
        <w:numPr>
          <w:ilvl w:val="0"/>
          <w:numId w:val="1"/>
        </w:numPr>
        <w:ind w:left="360" w:firstLine="0"/>
      </w:pPr>
      <w:r>
        <w:t>Smíšené družstvo</w:t>
      </w:r>
    </w:p>
    <w:p>
      <w:pPr>
        <w:pStyle w:val="para20"/>
        <w:numPr>
          <w:ilvl w:val="0"/>
          <w:numId w:val="1"/>
        </w:numPr>
        <w:ind w:left="360" w:firstLine="0"/>
      </w:pPr>
      <w:r>
        <w:t>Individuální olympijští účastníci</w:t>
      </w:r>
    </w:p>
    <w:p>
      <w:pPr>
        <w:pStyle w:val="para2"/>
        <w:numPr>
          <w:ilvl w:val="0"/>
          <w:numId w:val="29"/>
        </w:numPr>
        <w:ind w:left="360" w:hanging="360"/>
      </w:pPr>
      <w:bookmarkStart w:id="6" w:name="_Toc218856667"/>
      <w:r>
        <w:t>Plánované OH</w:t>
      </w:r>
      <w:bookmarkEnd w:id="6"/>
      <w:r/>
    </w:p>
    <w:p>
      <w:pPr>
        <w:pStyle w:val="para20"/>
      </w:pPr>
      <w:r>
        <w:t>Typ</w:t>
        <w:tab/>
        <w:t>Rok</w:t>
        <w:tab/>
        <w:t>Země</w:t>
        <w:tab/>
        <w:t>Město</w:t>
      </w:r>
    </w:p>
    <w:p>
      <w:pPr>
        <w:pStyle w:val="para20"/>
      </w:pPr>
      <w:r>
        <w:t>Letní</w:t>
        <w:tab/>
        <w:t>2020</w:t>
        <w:tab/>
        <w:t>Japonsko</w:t>
        <w:tab/>
        <w:t>Tokio</w:t>
      </w:r>
    </w:p>
    <w:p>
      <w:pPr>
        <w:pStyle w:val="para20"/>
      </w:pPr>
      <w:r>
        <w:t>Zimní</w:t>
        <w:tab/>
        <w:t>2022</w:t>
        <w:tab/>
        <w:t>Čína</w:t>
        <w:tab/>
        <w:t>Peking</w:t>
      </w:r>
    </w:p>
    <w:p>
      <w:pPr>
        <w:pStyle w:val="para20"/>
      </w:pPr>
      <w:r>
        <w:t>Letní</w:t>
        <w:tab/>
        <w:t>2024</w:t>
        <w:tab/>
        <w:t>Francie</w:t>
        <w:tab/>
        <w:t>Paříž</w:t>
      </w:r>
    </w:p>
    <w:p>
      <w:pPr>
        <w:pStyle w:val="para20"/>
      </w:pPr>
      <w:r>
        <w:t>Zimní</w:t>
        <w:tab/>
        <w:t>2026</w:t>
        <w:tab/>
        <w:t>Itálie</w:t>
        <w:tab/>
        <w:t xml:space="preserve">Cortina </w:t>
      </w:r>
    </w:p>
    <w:p>
      <w:pPr>
        <w:pStyle w:val="para2"/>
        <w:numPr>
          <w:ilvl w:val="0"/>
          <w:numId w:val="30"/>
        </w:numPr>
        <w:ind w:left="360" w:hanging="360"/>
      </w:pPr>
      <w:bookmarkStart w:id="7" w:name="_Toc218856668"/>
      <w:r>
        <w:t>Tabulka počtu zlatých medailí</w:t>
      </w:r>
      <w:bookmarkEnd w:id="7"/>
      <w:r/>
    </w:p>
    <w:p>
      <w:pPr>
        <w:pStyle w:val="para20"/>
      </w:pPr>
      <w:r>
        <w:t>Stát</w:t>
        <w:tab/>
        <w:t>Zlato</w:t>
        <w:tab/>
        <w:t>Počet OH</w:t>
      </w:r>
    </w:p>
    <w:p>
      <w:pPr>
        <w:pStyle w:val="para20"/>
      </w:pPr>
      <w:r>
        <w:t>Stát</w:t>
        <w:tab/>
        <w:t>LOH</w:t>
        <w:tab/>
        <w:t>ZOH</w:t>
        <w:tab/>
      </w:r>
    </w:p>
    <w:p>
      <w:pPr>
        <w:pStyle w:val="para20"/>
      </w:pPr>
      <w:r>
        <w:t>USA</w:t>
        <w:tab/>
        <w:t>929</w:t>
        <w:tab/>
        <w:t>87</w:t>
        <w:tab/>
        <w:t>46</w:t>
      </w:r>
    </w:p>
    <w:p>
      <w:pPr>
        <w:pStyle w:val="para20"/>
      </w:pPr>
      <w:r>
        <w:t>Sovětský svaz</w:t>
        <w:tab/>
        <w:t>395</w:t>
        <w:tab/>
        <w:t>78</w:t>
        <w:tab/>
        <w:t xml:space="preserve">18 </w:t>
      </w:r>
    </w:p>
    <w:p>
      <w:pPr>
        <w:pStyle w:val="para20"/>
      </w:pPr>
      <w:r>
        <w:t>Německo</w:t>
        <w:tab/>
        <w:t>163</w:t>
        <w:tab/>
        <w:t>70</w:t>
        <w:tab/>
        <w:t>24</w:t>
      </w:r>
    </w:p>
    <w:p>
      <w:pPr>
        <w:pStyle w:val="para20"/>
      </w:pPr>
      <w:r>
        <w:t>Itálie</w:t>
        <w:tab/>
        <w:t>190</w:t>
        <w:tab/>
        <w:t>37</w:t>
        <w:tab/>
        <w:t>46</w:t>
      </w:r>
    </w:p>
    <w:p>
      <w:pPr>
        <w:pStyle w:val="para20"/>
      </w:pPr>
      <w:r>
        <w:t>Francie</w:t>
        <w:tab/>
        <w:t>191</w:t>
        <w:tab/>
        <w:t>27</w:t>
        <w:tab/>
        <w:t>47</w:t>
      </w:r>
    </w:p>
    <w:p>
      <w:pPr>
        <w:pStyle w:val="para20"/>
      </w:pPr>
      <w:r>
        <w:t>GBR</w:t>
        <w:tab/>
        <w:t>207</w:t>
        <w:tab/>
        <w:t>9</w:t>
        <w:tab/>
        <w:t>47</w:t>
      </w:r>
    </w:p>
    <w:p>
      <w:pPr>
        <w:pStyle w:val="para20"/>
      </w:pPr>
      <w:r>
        <w:t>Švédsko</w:t>
        <w:tab/>
        <w:t>142</w:t>
        <w:tab/>
        <w:t>48</w:t>
        <w:tab/>
        <w:t>46</w:t>
      </w:r>
    </w:p>
    <w:p>
      <w:pPr>
        <w:pStyle w:val="para1"/>
        <w:numPr>
          <w:ilvl w:val="0"/>
          <w:numId w:val="31"/>
        </w:numPr>
        <w:ind w:left="360" w:hanging="360"/>
      </w:pPr>
      <w:bookmarkStart w:id="8" w:name="_Toc218856669"/>
      <w:r>
        <w:t>Olympijský ceremoniál</w:t>
      </w:r>
      <w:bookmarkEnd w:id="8"/>
      <w:r/>
    </w:p>
    <w:p>
      <w:pPr>
        <w:pStyle w:val="para20"/>
      </w:pPr>
      <w:r>
        <w:t xml:space="preserve">Olympijský ceremoniál je soubor předepsaných obřadů pro zahájení a ukončení OH a pro rozdílení cen, konající se v hlavním olympijském stadionu. </w:t>
      </w:r>
    </w:p>
    <w:p>
      <w:pPr>
        <w:pStyle w:val="para20"/>
      </w:pPr>
      <w:r>
        <w:t>Zahajovací ceremoniál začíná příchodem hlavy státu země pořádající OH v doprovodu předsedy MOV a předsedy organizačního výboru her na olympijský stadion. Zazní státní hymna pořádající země Defilé účastníků – každá delegace je označena standartou se jménem země a státní vlajkou. Defilé zahajuje delegace Řecka a uzavírá je delegace hostitelské země; ostatní národy defilují v abecedním pořádku podle jazyka země, která hry pořádá. Předseda přednese uvítací projev a vyzve hlavu pořádajícího státu, aby pronesl zahajovací formuli.</w:t>
      </w:r>
    </w:p>
    <w:p>
      <w:pPr>
        <w:pStyle w:val="para20"/>
      </w:pPr>
      <w:r>
        <w:t>Ozve se hlas trubek a za zvuků olympijské hymny je vztyčena olympijská vlajka. Předání oficiální, olympijské vlajky starostovi pořadatelského města. Symbolické vypuštění holubů (poznámka: v současnosti se již neprovádí). Příchod olympijské štafety s pochodní. Poslední běžec oběhne olympijský stadion a zažehne olympijský oheň.</w:t>
      </w:r>
    </w:p>
    <w:p>
      <w:pPr>
        <w:pStyle w:val="para20"/>
      </w:pPr>
      <w:r>
        <w:t>V průběhu ceremoniálu probíhá i slavnostní přísaha sportovců a rozhodčích. První přísaha rozhodčích se uskutečnila na Letních olympijských hrách v Mnichově (viz olympijský slib).</w:t>
      </w:r>
    </w:p>
    <w:p>
      <w:pPr>
        <w:pStyle w:val="para20"/>
      </w:pPr>
      <w:r>
        <w:t>Na závěr zahajovacího ceremoniálu je hrána státní hymna hostitelské země.</w:t>
      </w:r>
    </w:p>
    <w:p>
      <w:pPr>
        <w:pStyle w:val="para1"/>
        <w:numPr>
          <w:ilvl w:val="0"/>
          <w:numId w:val="32"/>
        </w:numPr>
        <w:ind w:left="360" w:hanging="360"/>
      </w:pPr>
      <w:bookmarkStart w:id="9" w:name="_Toc218856670"/>
      <w:r>
        <w:t>Olympijské symboly</w:t>
      </w:r>
      <w:bookmarkEnd w:id="9"/>
      <w:r/>
    </w:p>
    <w:p>
      <w:pPr>
        <w:pStyle w:val="para20"/>
      </w:pPr>
      <w:r>
        <w:t>Olympijské symboly a znaky vyjadřují olympijské myšlenky a univerzálnost olympijského hnutí, jeho úkoly a cíle. Jejich přesnou podobu i způsoby a pravidla pro jejich používání přesně definuje Olympijská charta.</w:t>
      </w:r>
    </w:p>
    <w:p>
      <w:pPr>
        <w:pStyle w:val="para20"/>
      </w:pPr>
      <w:r>
        <w:t>Největším olympijským symbolem jsou olympijské kruhy, které jsou vzájemně propojeny. Pět kruhů představuje pět kontinentů spojených olympijskou myšlenkou, šest barev (včetně bílého podkladu) barvy všech národů světa. Existuje obecný názor, že kruhy představují jednotlivé kontinenty, ale není tomu tak. Baron de Coubertin vnímal kruhy a barvy jako dva nezávislé symboly a Mezinárodní Olympijský Výbor výslovně uvádí, že žádný z kruhů nereprezentuje konkrétní kontinent. Olympijské kruhy jsou součásti olympijské vlajky, která má bílý podklad a v jejím středu je umístěno pět olympijských kruhů.</w:t>
      </w:r>
    </w:p>
    <w:p>
      <w:pPr>
        <w:pStyle w:val="para20"/>
      </w:pPr>
      <w:r>
        <w:t>Vlajka poprvé zavlála při VI. olympijském kongresu v roce 1914, na olympijském stadiónu poprvé v roce 1920. Na OH se vyvěšuje vlajka, kterou v roce 1920 věnovaly Antverpy, na ZOH vlajka, kterou v roce 1952 věnovalo Oslo. Součástí historické vlajky je i olympijské heslo Citius, Altius, Fortius (Rychleji, výše, silněji), které vyjadřuje cíl olympijského hnutí, úsilí o neustálý pokrok. Pierre de Coubertin toto heslo převzal od svého přítele, abbé Didona. Nejvýznamnější symboly olympijského hnutí jsou podle čl. 6 olympijské charty výlučným vlastnictvím MOV. S výjimkou oficiálního olympijského dne nesmí NOV užívat olympijské symboly bez jeho výslovného povolení. Nejvyšší symboly se nesmí použít ke komerčním účelům. Kombinací olympijských kruhů s jinými znaky nebo atributy (např. se státní vlajkou) vznikají emblémy, znaky NOV a organizačních výborů OH (ZOH), jejichž jsou vlastnictvím, musí však být schváleny MOV. Nově používaným symbolem OH (ZOH) jsou maskoty, které mají vyjadřovat národní tradici hostitelské země.</w:t>
      </w:r>
    </w:p>
    <w:p>
      <w:pPr>
        <w:pStyle w:val="para1"/>
        <w:numPr>
          <w:ilvl w:val="0"/>
          <w:numId w:val="33"/>
        </w:numPr>
        <w:ind w:left="360" w:hanging="360"/>
      </w:pPr>
      <w:bookmarkStart w:id="10" w:name="_Toc218856671"/>
      <w:r>
        <w:t>Závěr</w:t>
      </w:r>
      <w:bookmarkEnd w:id="10"/>
      <w:r/>
    </w:p>
    <w:p>
      <w:pPr>
        <w:pStyle w:val="para20"/>
      </w:pPr>
      <w:r>
        <w:t xml:space="preserve">Olympiádami se často nazývají i různé místní nebo školní sportovní nebo i jiné soutěže napodobující skutečnou olympiádu. Pro tělesně postižené sportovce bývá pořádána paralympiáda. Názvem olympiáda byl inspirován i název ’Československých spartakiád‘. </w:t>
      </w:r>
    </w:p>
    <w:p>
      <w:pPr>
        <w:pStyle w:val="para20"/>
      </w:pPr>
      <w:r>
        <w:t>Slova Olympiáda a Olympijský( a slova odvozená ), stejně jako symboly pěti kruhů a olympijské pochodně, jsou chráněna zákonem a nesmí se používat bez speciálního povolení Olympijského výboru. Toto povolení má např. Ministerstvo školství, a smí se používat pro vzdělávací znalostní a dovednostní soutěže konané ve spolupráci se školami: například matematická olympiáda, fizikální olympiáda, chemická olympiáda, astronomická olympiáda atd…</w:t>
      </w:r>
    </w:p>
    <w:p>
      <w:pPr>
        <w:pStyle w:val="para20"/>
      </w:pPr>
      <w:r>
        <w:t>Pořadatelská země má oproti ostatním zemím navíc právo postavit svůj národní olympijský tým ve všech olympijských kolektivních sportech aniž by se musela zúčastnit jakékoliv kvalifikace.</w:t>
      </w:r>
    </w:p>
    <w:p>
      <w:pPr>
        <w:pStyle w:val="para20"/>
      </w:pPr>
      <w:r>
        <w:t>Zvolené pořadatelské město olympijských her má jednou pro vždy právo k přídomku olympijské-tedy olympijské město.</w:t>
      </w:r>
    </w:p>
    <w:p>
      <w:pPr>
        <w:pStyle w:val="para20"/>
      </w:pPr>
      <w:r>
        <w:t xml:space="preserve">Další olympijské hry začínají 24.července 2020 v Tokiu. V případě kandidatury je pouze 7 % šance, že se olympijské hry budou konat v České republice. </w:t>
      </w:r>
    </w:p>
    <w:sectPr>
      <w:footnotePr>
        <w:pos w:val="pageBottom"/>
        <w:numFmt w:val="decimal"/>
        <w:numStart w:val="1"/>
        <w:numRestart w:val="continuous"/>
      </w:footnotePr>
      <w:endnotePr>
        <w:pos w:val="docEnd"/>
        <w:numFmt w:val="lowerRoman"/>
        <w:numStart w:val="1"/>
        <w:numRestart w:val="continuous"/>
      </w:endnotePr>
      <w:type w:val="continuous"/>
      <w:pgSz w:h="15840" w:w="12240"/>
      <w:pgMar w:left="1985" w:top="1701" w:right="1418" w:bottom="1701"/>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Calibri">
    <w:charset w:val="00"/>
    <w:family w:val="swiss"/>
    <w:pitch w:val="default"/>
  </w:font>
  <w:font w:name="Arial">
    <w:charset w:val="00"/>
    <w:family w:val="swiss"/>
    <w:pitch w:val="default"/>
  </w:font>
  <w:font w:name="Calibri Light">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Wingdings" w:hAnsi="Wingdings"/>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
    <w:multiLevelType w:val="hybridMultilevel"/>
    <w:name w:val="Numbered list 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Numbered list 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4">
    <w:multiLevelType w:val="hybridMultilevel"/>
    <w:name w:val="Numbered list 4"/>
    <w:lvl w:ilvl="0">
      <w:start w:val="1"/>
      <w:numFmt w:val="decimal"/>
      <w:suff w:val="tab"/>
      <w:lvlText w:val="%1."/>
      <w:lvlJc w:val="left"/>
      <w:pPr>
        <w:ind w:left="360" w:hanging="0"/>
      </w:pPr>
    </w:lvl>
    <w:lvl w:ilvl="1">
      <w:start w:val="1"/>
      <w:numFmt w:val="upperRoman"/>
      <w:suff w:val="tab"/>
      <w:lvlText w:val="%2."/>
      <w:lvlJc w:val="righ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5">
    <w:multiLevelType w:val="hybridMultilevel"/>
    <w:name w:val="Numbered list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6">
    <w:multiLevelType w:val="hybridMultilevel"/>
    <w:name w:val="Numbered list 6"/>
    <w:lvl w:ilvl="0">
      <w:start w:val="1"/>
      <w:numFmt w:val="decimal"/>
      <w:suff w:val="tab"/>
      <w:lvlText w:val="%1."/>
      <w:lvlJc w:val="left"/>
      <w:pPr>
        <w:ind w:left="360" w:hanging="0"/>
      </w:pPr>
    </w:lvl>
    <w:lvl w:ilvl="1">
      <w:start w:val="1"/>
      <w:numFmt w:val="upperRoman"/>
      <w:suff w:val="tab"/>
      <w:lvlText w:val="%2."/>
      <w:lvlJc w:val="righ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7">
    <w:multiLevelType w:val="hybridMultilevel"/>
    <w:name w:val="Numbered list 7"/>
    <w:lvl w:ilvl="0">
      <w:start w:val="1"/>
      <w:numFmt w:val="upperRoman"/>
      <w:suff w:val="tab"/>
      <w:lvlText w:val="%1."/>
      <w:lvlJc w:val="right"/>
      <w:pPr>
        <w:ind w:left="1440" w:hanging="0"/>
      </w:pPr>
    </w:lvl>
    <w:lvl w:ilvl="1">
      <w:start w:val="1"/>
      <w:numFmt w:val="lowerLetter"/>
      <w:suff w:val="tab"/>
      <w:lvlText w:val="%2."/>
      <w:lvlJc w:val="left"/>
      <w:pPr>
        <w:ind w:left="2160" w:hanging="0"/>
      </w:pPr>
    </w:lvl>
    <w:lvl w:ilvl="2">
      <w:start w:val="1"/>
      <w:numFmt w:val="lowerRoman"/>
      <w:suff w:val="tab"/>
      <w:lvlText w:val="%3."/>
      <w:lvlJc w:val="right"/>
      <w:pPr>
        <w:ind w:left="3060" w:hanging="0"/>
      </w:pPr>
    </w:lvl>
    <w:lvl w:ilvl="3">
      <w:start w:val="1"/>
      <w:numFmt w:val="decimal"/>
      <w:suff w:val="tab"/>
      <w:lvlText w:val="%4."/>
      <w:lvlJc w:val="left"/>
      <w:pPr>
        <w:ind w:left="3600" w:hanging="0"/>
      </w:pPr>
    </w:lvl>
    <w:lvl w:ilvl="4">
      <w:start w:val="1"/>
      <w:numFmt w:val="lowerLetter"/>
      <w:suff w:val="tab"/>
      <w:lvlText w:val="%5."/>
      <w:lvlJc w:val="left"/>
      <w:pPr>
        <w:ind w:left="4320" w:hanging="0"/>
      </w:pPr>
    </w:lvl>
    <w:lvl w:ilvl="5">
      <w:start w:val="1"/>
      <w:numFmt w:val="lowerRoman"/>
      <w:suff w:val="tab"/>
      <w:lvlText w:val="%6."/>
      <w:lvlJc w:val="right"/>
      <w:pPr>
        <w:ind w:left="5220" w:hanging="0"/>
      </w:pPr>
    </w:lvl>
    <w:lvl w:ilvl="6">
      <w:start w:val="1"/>
      <w:numFmt w:val="decimal"/>
      <w:suff w:val="tab"/>
      <w:lvlText w:val="%7."/>
      <w:lvlJc w:val="left"/>
      <w:pPr>
        <w:ind w:left="5760" w:hanging="0"/>
      </w:pPr>
    </w:lvl>
    <w:lvl w:ilvl="7">
      <w:start w:val="1"/>
      <w:numFmt w:val="lowerLetter"/>
      <w:suff w:val="tab"/>
      <w:lvlText w:val="%8."/>
      <w:lvlJc w:val="left"/>
      <w:pPr>
        <w:ind w:left="6480" w:hanging="0"/>
      </w:pPr>
    </w:lvl>
    <w:lvl w:ilvl="8">
      <w:start w:val="1"/>
      <w:numFmt w:val="lowerRoman"/>
      <w:suff w:val="tab"/>
      <w:lvlText w:val="%9."/>
      <w:lvlJc w:val="right"/>
      <w:pPr>
        <w:ind w:left="7380" w:hanging="0"/>
      </w:pPr>
    </w:lvl>
  </w:abstractNum>
  <w:abstractNum w:abstractNumId="8">
    <w:multiLevelType w:val="hybridMultilevel"/>
    <w:name w:val="Numbered list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9">
    <w:multiLevelType w:val="hybridMultilevel"/>
    <w:name w:val="Numbered list 9"/>
    <w:lvl w:ilvl="0">
      <w:start w:val="1"/>
      <w:numFmt w:val="upperRoman"/>
      <w:suff w:val="tab"/>
      <w:lvlText w:val="%1."/>
      <w:lvlJc w:val="right"/>
      <w:pPr>
        <w:ind w:left="1440" w:hanging="0"/>
      </w:pPr>
    </w:lvl>
    <w:lvl w:ilvl="1">
      <w:start w:val="1"/>
      <w:numFmt w:val="lowerLetter"/>
      <w:suff w:val="tab"/>
      <w:lvlText w:val="%2."/>
      <w:lvlJc w:val="left"/>
      <w:pPr>
        <w:ind w:left="2160" w:hanging="0"/>
      </w:pPr>
    </w:lvl>
    <w:lvl w:ilvl="2">
      <w:start w:val="1"/>
      <w:numFmt w:val="lowerRoman"/>
      <w:suff w:val="tab"/>
      <w:lvlText w:val="%3."/>
      <w:lvlJc w:val="right"/>
      <w:pPr>
        <w:ind w:left="3060" w:hanging="0"/>
      </w:pPr>
    </w:lvl>
    <w:lvl w:ilvl="3">
      <w:start w:val="1"/>
      <w:numFmt w:val="decimal"/>
      <w:suff w:val="tab"/>
      <w:lvlText w:val="%4."/>
      <w:lvlJc w:val="left"/>
      <w:pPr>
        <w:ind w:left="3600" w:hanging="0"/>
      </w:pPr>
    </w:lvl>
    <w:lvl w:ilvl="4">
      <w:start w:val="1"/>
      <w:numFmt w:val="lowerLetter"/>
      <w:suff w:val="tab"/>
      <w:lvlText w:val="%5."/>
      <w:lvlJc w:val="left"/>
      <w:pPr>
        <w:ind w:left="4320" w:hanging="0"/>
      </w:pPr>
    </w:lvl>
    <w:lvl w:ilvl="5">
      <w:start w:val="1"/>
      <w:numFmt w:val="lowerRoman"/>
      <w:suff w:val="tab"/>
      <w:lvlText w:val="%6."/>
      <w:lvlJc w:val="right"/>
      <w:pPr>
        <w:ind w:left="5220" w:hanging="0"/>
      </w:pPr>
    </w:lvl>
    <w:lvl w:ilvl="6">
      <w:start w:val="1"/>
      <w:numFmt w:val="decimal"/>
      <w:suff w:val="tab"/>
      <w:lvlText w:val="%7."/>
      <w:lvlJc w:val="left"/>
      <w:pPr>
        <w:ind w:left="5760" w:hanging="0"/>
      </w:pPr>
    </w:lvl>
    <w:lvl w:ilvl="7">
      <w:start w:val="1"/>
      <w:numFmt w:val="lowerLetter"/>
      <w:suff w:val="tab"/>
      <w:lvlText w:val="%8."/>
      <w:lvlJc w:val="left"/>
      <w:pPr>
        <w:ind w:left="6480" w:hanging="0"/>
      </w:pPr>
    </w:lvl>
    <w:lvl w:ilvl="8">
      <w:start w:val="1"/>
      <w:numFmt w:val="lowerRoman"/>
      <w:suff w:val="tab"/>
      <w:lvlText w:val="%9."/>
      <w:lvlJc w:val="right"/>
      <w:pPr>
        <w:ind w:left="7380" w:hanging="0"/>
      </w:pPr>
    </w:lvl>
  </w:abstractNum>
  <w:abstractNum w:abstractNumId="10">
    <w:multiLevelType w:val="hybridMultilevel"/>
    <w:name w:val="Numbered list 10"/>
    <w:lvl w:ilvl="0">
      <w:start w:val="1"/>
      <w:numFmt w:val="decimal"/>
      <w:suff w:val="tab"/>
      <w:lvlText w:val="%1."/>
      <w:lvlJc w:val="left"/>
      <w:pPr>
        <w:ind w:left="360" w:hanging="0"/>
      </w:pPr>
    </w:lvl>
    <w:lvl w:ilvl="1">
      <w:start w:val="1"/>
      <w:numFmt w:val="upperRoman"/>
      <w:suff w:val="tab"/>
      <w:lvlText w:val="%2."/>
      <w:lvlJc w:val="righ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1">
    <w:multiLevelType w:val="hybridMultilevel"/>
    <w:name w:val="Numbered list 11"/>
    <w:lvl w:ilvl="0">
      <w:start w:val="1"/>
      <w:numFmt w:val="decimal"/>
      <w:suff w:val="tab"/>
      <w:lvlText w:val="%1)"/>
      <w:lvlJc w:val="left"/>
      <w:pPr>
        <w:ind w:left="360" w:hanging="0"/>
      </w:pPr>
    </w:lvl>
    <w:lvl w:ilvl="1">
      <w:start w:val="1"/>
      <w:numFmt w:val="upperRoman"/>
      <w:suff w:val="tab"/>
      <w:lvlText w:val="%2."/>
      <w:lvlJc w:val="right"/>
      <w:pPr>
        <w:ind w:left="144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2">
    <w:multiLevelType w:val="hybridMultilevel"/>
    <w:name w:val="Numbered list 12"/>
    <w:lvl w:ilvl="0">
      <w:numFmt w:val="bullet"/>
      <w:suff w:val="tab"/>
      <w:lvlText w:val=""/>
      <w:lvlJc w:val="left"/>
      <w:pPr>
        <w:ind w:left="0" w:hanging="0"/>
      </w:pPr>
      <w:rPr>
        <w:rFonts w:ascii="Wingdings" w:hAnsi="Wingdings"/>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13">
    <w:multiLevelType w:val="singleLevel"/>
    <w:name w:val="Bullet 13"/>
    <w:lvl w:ilvl="0">
      <w:start w:val="1"/>
      <w:numFmt w:val="decimal"/>
      <w:suff w:val="tab"/>
      <w:lvlText w:val="%1)"/>
      <w:lvlJc w:val="left"/>
      <w:pPr>
        <w:ind w:left="0" w:hanging="0"/>
      </w:pPr>
    </w:lvl>
  </w:abstractNum>
  <w:abstractNum w:abstractNumId="14">
    <w:multiLevelType w:val="singleLevel"/>
    <w:name w:val="Bullet 14"/>
    <w:lvl w:ilvl="0">
      <w:start w:val="1"/>
      <w:numFmt w:val="upperRoman"/>
      <w:suff w:val="tab"/>
      <w:lvlText w:val="%1."/>
      <w:lvlJc w:val="left"/>
      <w:pPr>
        <w:ind w:left="0" w:hanging="0"/>
      </w:pPr>
    </w:lvl>
  </w:abstractNum>
  <w:abstractNum w:abstractNumId="15">
    <w:multiLevelType w:val="singleLevel"/>
    <w:name w:val="Bullet 15"/>
    <w:lvl w:ilvl="0">
      <w:start w:val="1"/>
      <w:numFmt w:val="decimal"/>
      <w:suff w:val="tab"/>
      <w:lvlText w:val="%1)"/>
      <w:lvlJc w:val="left"/>
      <w:pPr>
        <w:ind w:left="0" w:hanging="0"/>
      </w:pPr>
    </w:lvl>
  </w:abstractNum>
  <w:abstractNum w:abstractNumId="16">
    <w:multiLevelType w:val="singleLevel"/>
    <w:name w:val="Bullet 16"/>
    <w:lvl w:ilvl="0">
      <w:start w:val="1"/>
      <w:numFmt w:val="upperRoman"/>
      <w:suff w:val="tab"/>
      <w:lvlText w:val="%1."/>
      <w:lvlJc w:val="left"/>
      <w:pPr>
        <w:ind w:left="0" w:hanging="0"/>
      </w:pPr>
    </w:lvl>
  </w:abstractNum>
  <w:abstractNum w:abstractNumId="17">
    <w:multiLevelType w:val="singleLevel"/>
    <w:name w:val="Bullet 17"/>
    <w:lvl w:ilvl="0">
      <w:start w:val="1"/>
      <w:numFmt w:val="decimal"/>
      <w:suff w:val="tab"/>
      <w:lvlText w:val="%1)"/>
      <w:lvlJc w:val="left"/>
      <w:pPr>
        <w:ind w:left="0" w:hanging="0"/>
      </w:pPr>
    </w:lvl>
  </w:abstractNum>
  <w:abstractNum w:abstractNumId="18">
    <w:multiLevelType w:val="singleLevel"/>
    <w:name w:val="Bullet 18"/>
    <w:lvl w:ilvl="0">
      <w:start w:val="1"/>
      <w:numFmt w:val="upperRoman"/>
      <w:suff w:val="tab"/>
      <w:lvlText w:val="%1."/>
      <w:lvlJc w:val="left"/>
      <w:pPr>
        <w:ind w:left="0" w:hanging="0"/>
      </w:pPr>
    </w:lvl>
  </w:abstractNum>
  <w:abstractNum w:abstractNumId="19">
    <w:multiLevelType w:val="singleLevel"/>
    <w:name w:val="Bullet 19"/>
    <w:lvl w:ilvl="0">
      <w:start w:val="1"/>
      <w:numFmt w:val="decimal"/>
      <w:lvlText w:val="%1."/>
      <w:lvlJc w:val="left"/>
      <w:pPr>
        <w:tabs>
          <w:tab w:val="num" w:pos="360"/>
        </w:tabs>
        <w:ind w:left="360" w:hanging="360"/>
      </w:pPr>
    </w:lvl>
  </w:abstractNum>
  <w:abstractNum w:abstractNumId="20">
    <w:multiLevelType w:val="singleLevel"/>
    <w:name w:val="Bullet 20"/>
    <w:lvl w:ilvl="0">
      <w:start w:val="1"/>
      <w:numFmt w:val="decimal"/>
      <w:lvlText w:val="%1."/>
      <w:lvlJc w:val="left"/>
      <w:pPr>
        <w:tabs>
          <w:tab w:val="num" w:pos="360"/>
        </w:tabs>
        <w:ind w:left="360" w:hanging="360"/>
      </w:pPr>
    </w:lvl>
  </w:abstractNum>
  <w:abstractNum w:abstractNumId="21">
    <w:multiLevelType w:val="singleLevel"/>
    <w:name w:val="Bullet 21"/>
    <w:lvl w:ilvl="0">
      <w:start w:val="1"/>
      <w:numFmt w:val="decimal"/>
      <w:lvlText w:val="%1."/>
      <w:lvlJc w:val="left"/>
      <w:pPr>
        <w:tabs>
          <w:tab w:val="num" w:pos="360"/>
        </w:tabs>
        <w:ind w:left="360" w:hanging="360"/>
      </w:pPr>
    </w:lvl>
  </w:abstractNum>
  <w:abstractNum w:abstractNumId="22">
    <w:multiLevelType w:val="singleLevel"/>
    <w:name w:val="Bullet 22"/>
    <w:lvl w:ilvl="0">
      <w:start w:val="1"/>
      <w:numFmt w:val="decimal"/>
      <w:lvlText w:val="%1."/>
      <w:lvlJc w:val="left"/>
      <w:pPr>
        <w:tabs>
          <w:tab w:val="num" w:pos="360"/>
        </w:tabs>
        <w:ind w:left="360" w:hanging="360"/>
      </w:pPr>
    </w:lvl>
  </w:abstractNum>
  <w:abstractNum w:abstractNumId="23">
    <w:multiLevelType w:val="singleLevel"/>
    <w:name w:val="Bullet 23"/>
    <w:lvl w:ilvl="0">
      <w:start w:val="1"/>
      <w:numFmt w:val="decimal"/>
      <w:lvlText w:val="%1."/>
      <w:lvlJc w:val="left"/>
      <w:pPr>
        <w:tabs>
          <w:tab w:val="num" w:pos="360"/>
        </w:tabs>
        <w:ind w:left="360" w:hanging="360"/>
      </w:pPr>
    </w:lvl>
  </w:abstractNum>
  <w:abstractNum w:abstractNumId="24">
    <w:multiLevelType w:val="singleLevel"/>
    <w:name w:val="Bullet 24"/>
    <w:lvl w:ilvl="0">
      <w:start w:val="1"/>
      <w:numFmt w:val="decimal"/>
      <w:lvlText w:val="%1."/>
      <w:lvlJc w:val="left"/>
      <w:pPr>
        <w:tabs>
          <w:tab w:val="num" w:pos="360"/>
        </w:tabs>
        <w:ind w:left="360" w:hanging="360"/>
      </w:pPr>
    </w:lvl>
  </w:abstractNum>
  <w:abstractNum w:abstractNumId="25">
    <w:multiLevelType w:val="singleLevel"/>
    <w:name w:val="Bullet 25"/>
    <w:lvl w:ilvl="0">
      <w:start w:val="1"/>
      <w:numFmt w:val="decimal"/>
      <w:lvlText w:val="%1."/>
      <w:lvlJc w:val="left"/>
      <w:pPr>
        <w:tabs>
          <w:tab w:val="num" w:pos="360"/>
        </w:tabs>
        <w:ind w:left="360" w:hanging="360"/>
      </w:pPr>
    </w:lvl>
  </w:abstractNum>
  <w:abstractNum w:abstractNumId="26">
    <w:multiLevelType w:val="singleLevel"/>
    <w:name w:val="Bullet 26"/>
    <w:lvl w:ilvl="0">
      <w:start w:val="1"/>
      <w:numFmt w:val="decimal"/>
      <w:lvlText w:val="%1."/>
      <w:lvlJc w:val="left"/>
      <w:pPr>
        <w:tabs>
          <w:tab w:val="num" w:pos="360"/>
        </w:tabs>
        <w:ind w:left="360" w:hanging="360"/>
      </w:pPr>
    </w:lvl>
  </w:abstractNum>
  <w:abstractNum w:abstractNumId="27">
    <w:multiLevelType w:val="singleLevel"/>
    <w:name w:val="Bullet 27"/>
    <w:lvl w:ilvl="0">
      <w:start w:val="1"/>
      <w:numFmt w:val="decimal"/>
      <w:lvlText w:val="%1."/>
      <w:lvlJc w:val="left"/>
      <w:pPr>
        <w:tabs>
          <w:tab w:val="num" w:pos="360"/>
        </w:tabs>
        <w:ind w:left="360" w:hanging="360"/>
      </w:pPr>
    </w:lvl>
  </w:abstractNum>
  <w:abstractNum w:abstractNumId="28">
    <w:multiLevelType w:val="singleLevel"/>
    <w:name w:val="Bullet 28"/>
    <w:lvl w:ilvl="0">
      <w:start w:val="1"/>
      <w:numFmt w:val="decimal"/>
      <w:lvlText w:val="%1."/>
      <w:lvlJc w:val="left"/>
      <w:pPr>
        <w:tabs>
          <w:tab w:val="num" w:pos="360"/>
        </w:tabs>
        <w:ind w:left="360" w:hanging="360"/>
      </w:pPr>
    </w:lvl>
  </w:abstractNum>
  <w:abstractNum w:abstractNumId="29">
    <w:multiLevelType w:val="singleLevel"/>
    <w:name w:val="Bullet 29"/>
    <w:lvl w:ilvl="0">
      <w:start w:val="1"/>
      <w:numFmt w:val="decimal"/>
      <w:lvlText w:val="%1."/>
      <w:lvlJc w:val="left"/>
      <w:pPr>
        <w:tabs>
          <w:tab w:val="num" w:pos="360"/>
        </w:tabs>
        <w:ind w:left="360" w:hanging="360"/>
      </w:pPr>
    </w:lvl>
  </w:abstractNum>
  <w:abstractNum w:abstractNumId="30">
    <w:multiLevelType w:val="singleLevel"/>
    <w:name w:val="Bullet 30"/>
    <w:lvl w:ilvl="0">
      <w:start w:val="1"/>
      <w:numFmt w:val="decimal"/>
      <w:lvlText w:val="%1."/>
      <w:lvlJc w:val="left"/>
      <w:pPr>
        <w:tabs>
          <w:tab w:val="num" w:pos="360"/>
        </w:tabs>
        <w:ind w:left="360" w:hanging="360"/>
      </w:pPr>
    </w:lvl>
  </w:abstractNum>
  <w:abstractNum w:abstractNumId="31">
    <w:multiLevelType w:val="singleLevel"/>
    <w:name w:val="Bullet 31"/>
    <w:lvl w:ilvl="0">
      <w:start w:val="1"/>
      <w:numFmt w:val="decimal"/>
      <w:lvlText w:val="%1."/>
      <w:lvlJc w:val="left"/>
      <w:pPr>
        <w:tabs>
          <w:tab w:val="num" w:pos="360"/>
        </w:tabs>
        <w:ind w:left="360" w:hanging="360"/>
      </w:pPr>
    </w:lvl>
  </w:abstractNum>
  <w:abstractNum w:abstractNumId="32">
    <w:multiLevelType w:val="singleLevel"/>
    <w:name w:val="Bullet 32"/>
    <w:lvl w:ilvl="0">
      <w:start w:val="1"/>
      <w:numFmt w:val="decimal"/>
      <w:lvlText w:val="%1."/>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0"/>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9"/>
    <w:tmReviewMarkIns w:val="4"/>
    <w:tmReviewColorIns w:val="-1"/>
    <w:tmReviewMarkDel w:val="7"/>
    <w:tmReviewColorDel w:val="-1"/>
    <w:tmReviewMarkFmt w:val="7"/>
    <w:tmReviewColorFmt w:val="-1"/>
    <w:tmReviewMarkLn w:val="1"/>
    <w:tmReviewColorLn w:val="0"/>
    <w:tmReviewToolTip w:val="1"/>
  </w:tmReviewPr>
  <w:tmLastPos>
    <w:tmLastPosPage w:val="1"/>
    <w:tmLastPosSelect w:val="0"/>
    <w:tmLastPosFrameIdx w:val="0"/>
    <w:tmLastPosCaret>
      <w:tmLastPosPgfIdx w:val="17"/>
      <w:tmLastPosIdx w:val="33"/>
    </w:tmLastPosCaret>
    <w:tmLastPosAnchor>
      <w:tmLastPosPgfIdx w:val="0"/>
      <w:tmLastPosIdx w:val="0"/>
    </w:tmLastPosAnchor>
    <w:tmLastPosTblRect w:left="0" w:top="0" w:right="0" w:bottom="0"/>
  </w:tmLastPos>
  <w:tmAppRevision w:date="1768501110" w:val="1220"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1"/>
        <w:szCs w:val="21"/>
        <w:lang w:val="cs-cz" w:eastAsia="en-us" w:bidi="ar-sa"/>
      </w:rPr>
    </w:rPrDefault>
    <w:pPrDefault>
      <w:pPr>
        <w:spacing w:after="16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19"/>
      </w:numPr>
      <w:ind w:left="360" w:hanging="360"/>
      <w:spacing w:before="360" w:after="120" w:line="240" w:lineRule="auto"/>
      <w:pageBreakBefore/>
      <w:keepNext/>
      <w:outlineLvl w:val="0"/>
      <w:keepLines/>
      <w:pBdr>
        <w:top w:val="nil" w:sz="0" w:space="3" w:color="000000" tmln="20, 20, 20, 0, 60"/>
        <w:left w:val="nil" w:sz="0" w:space="3" w:color="000000" tmln="20, 20, 20, 0, 60"/>
        <w:bottom w:val="single" w:sz="8" w:space="1" w:color="00B050" tmln="20, 20, 20, 0, 20"/>
        <w:right w:val="nil" w:sz="0" w:space="3" w:color="000000" tmln="20, 20, 20, 0, 60"/>
        <w:between w:val="nil" w:sz="0" w:space="0" w:color="000000" tmln="20, 20, 20, 0, 0"/>
      </w:pBdr>
      <w:shd w:val="none"/>
    </w:pPr>
    <w:rPr>
      <w:rFonts w:ascii="Arial" w:hAnsi="Arial" w:eastAsia="Calibri Light" w:cs="Calibri Light"/>
      <w:color w:val="00b050"/>
      <w:sz w:val="40"/>
      <w:szCs w:val="40"/>
    </w:rPr>
  </w:style>
  <w:style w:type="paragraph" w:styleId="para2">
    <w:name w:val="heading 2"/>
    <w:qFormat/>
    <w:basedOn w:val="para0"/>
    <w:next w:val="para0"/>
    <w:pPr>
      <w:numPr>
        <w:ilvl w:val="0"/>
        <w:numId w:val="21"/>
      </w:numPr>
      <w:ind w:left="360" w:hanging="360"/>
      <w:spacing w:before="120" w:after="0" w:line="240" w:lineRule="auto"/>
      <w:keepNext/>
      <w:outlineLvl w:val="1"/>
      <w:keepLines/>
    </w:pPr>
    <w:rPr>
      <w:rFonts w:ascii="Calibri Light" w:hAnsi="Calibri Light" w:eastAsia="Calibri Light" w:cs="Calibri Light"/>
      <w:color w:val="ed7d31"/>
      <w:sz w:val="36"/>
      <w:szCs w:val="36"/>
    </w:rPr>
  </w:style>
  <w:style w:type="paragraph" w:styleId="para3">
    <w:name w:val="heading 3"/>
    <w:qFormat/>
    <w:basedOn w:val="para0"/>
    <w:next w:val="para0"/>
    <w:pPr>
      <w:spacing w:before="80" w:after="0" w:line="240" w:lineRule="auto"/>
      <w:keepNext/>
      <w:outlineLvl w:val="2"/>
      <w:keepLines/>
    </w:pPr>
    <w:rPr>
      <w:rFonts w:ascii="Calibri Light" w:hAnsi="Calibri Light" w:eastAsia="Calibri Light" w:cs="Calibri Light"/>
      <w:color w:val="c45911"/>
      <w:sz w:val="32"/>
      <w:szCs w:val="32"/>
    </w:rPr>
  </w:style>
  <w:style w:type="paragraph" w:styleId="para4">
    <w:name w:val="heading 4"/>
    <w:qFormat/>
    <w:basedOn w:val="para0"/>
    <w:next w:val="para0"/>
    <w:pPr>
      <w:spacing w:before="80" w:after="0" w:line="240" w:lineRule="auto"/>
      <w:keepNext/>
      <w:outlineLvl w:val="3"/>
      <w:keepLines/>
    </w:pPr>
    <w:rPr>
      <w:rFonts w:ascii="Calibri Light" w:hAnsi="Calibri Light" w:eastAsia="Calibri Light" w:cs="Calibri Light"/>
      <w:i/>
      <w:iCs/>
      <w:color w:val="833c0b"/>
      <w:sz w:val="28"/>
      <w:szCs w:val="28"/>
    </w:rPr>
  </w:style>
  <w:style w:type="paragraph" w:styleId="para5">
    <w:name w:val="heading 5"/>
    <w:qFormat/>
    <w:basedOn w:val="para0"/>
    <w:next w:val="para0"/>
    <w:pPr>
      <w:spacing w:before="80" w:after="0" w:line="240" w:lineRule="auto"/>
      <w:keepNext/>
      <w:outlineLvl w:val="4"/>
      <w:keepLines/>
    </w:pPr>
    <w:rPr>
      <w:rFonts w:ascii="Calibri Light" w:hAnsi="Calibri Light" w:eastAsia="Calibri Light" w:cs="Calibri Light"/>
      <w:color w:val="c45911"/>
      <w:sz w:val="24"/>
      <w:szCs w:val="24"/>
    </w:rPr>
  </w:style>
  <w:style w:type="paragraph" w:styleId="para6">
    <w:name w:val="heading 6"/>
    <w:qFormat/>
    <w:basedOn w:val="para0"/>
    <w:next w:val="para0"/>
    <w:pPr>
      <w:spacing w:before="80" w:after="0" w:line="240" w:lineRule="auto"/>
      <w:keepNext/>
      <w:outlineLvl w:val="5"/>
      <w:keepLines/>
    </w:pPr>
    <w:rPr>
      <w:rFonts w:ascii="Calibri Light" w:hAnsi="Calibri Light" w:eastAsia="Calibri Light" w:cs="Calibri Light"/>
      <w:i/>
      <w:iCs/>
      <w:color w:val="833c0b"/>
      <w:sz w:val="24"/>
      <w:szCs w:val="24"/>
    </w:rPr>
  </w:style>
  <w:style w:type="paragraph" w:styleId="para7">
    <w:name w:val="heading 7"/>
    <w:qFormat/>
    <w:basedOn w:val="para0"/>
    <w:next w:val="para0"/>
    <w:pPr>
      <w:spacing w:before="80" w:after="0" w:line="240" w:lineRule="auto"/>
      <w:keepNext/>
      <w:outlineLvl w:val="6"/>
      <w:keepLines/>
    </w:pPr>
    <w:rPr>
      <w:rFonts w:ascii="Calibri Light" w:hAnsi="Calibri Light" w:eastAsia="Calibri Light" w:cs="Calibri Light"/>
      <w:b/>
      <w:bCs/>
      <w:color w:val="833c0b"/>
      <w:sz w:val="22"/>
      <w:szCs w:val="22"/>
    </w:rPr>
  </w:style>
  <w:style w:type="paragraph" w:styleId="para8">
    <w:name w:val="heading 8"/>
    <w:qFormat/>
    <w:basedOn w:val="para0"/>
    <w:next w:val="para0"/>
    <w:pPr>
      <w:spacing w:before="80" w:after="0" w:line="240" w:lineRule="auto"/>
      <w:keepNext/>
      <w:outlineLvl w:val="7"/>
      <w:keepLines/>
    </w:pPr>
    <w:rPr>
      <w:rFonts w:ascii="Calibri Light" w:hAnsi="Calibri Light" w:eastAsia="Calibri Light" w:cs="Calibri Light"/>
      <w:color w:val="833c0b"/>
      <w:sz w:val="22"/>
      <w:szCs w:val="22"/>
    </w:rPr>
  </w:style>
  <w:style w:type="paragraph" w:styleId="para9">
    <w:name w:val="heading 9"/>
    <w:qFormat/>
    <w:basedOn w:val="para0"/>
    <w:next w:val="para0"/>
    <w:pPr>
      <w:spacing w:before="80" w:after="0" w:line="240" w:lineRule="auto"/>
      <w:keepNext/>
      <w:outlineLvl w:val="8"/>
      <w:keepLines/>
    </w:pPr>
    <w:rPr>
      <w:rFonts w:ascii="Calibri Light" w:hAnsi="Calibri Light" w:eastAsia="Calibri Light" w:cs="Calibri Light"/>
      <w:i/>
      <w:iCs/>
      <w:color w:val="833c0b"/>
      <w:sz w:val="22"/>
      <w:szCs w:val="22"/>
    </w:rPr>
  </w:style>
  <w:style w:type="paragraph" w:styleId="para10">
    <w:name w:val="caption"/>
    <w:qFormat/>
    <w:basedOn w:val="para0"/>
    <w:next w:val="para0"/>
    <w:pPr>
      <w:spacing w:line="240" w:lineRule="auto"/>
    </w:pPr>
    <w:rPr>
      <w:b/>
      <w:bCs/>
      <w:color w:val="404040"/>
      <w:sz w:val="16"/>
      <w:szCs w:val="16"/>
    </w:rPr>
  </w:style>
  <w:style w:type="paragraph" w:styleId="para11">
    <w:name w:val="Title"/>
    <w:qFormat/>
    <w:basedOn w:val="para0"/>
    <w:next w:val="para0"/>
    <w:pPr>
      <w:spacing w:after="0" w:line="240" w:lineRule="auto"/>
      <w:contextualSpacing/>
    </w:pPr>
    <w:rPr>
      <w:rFonts w:ascii="Calibri Light" w:hAnsi="Calibri Light" w:eastAsia="Calibri Light" w:cs="Calibri Light"/>
      <w:color w:val="262626"/>
      <w:sz w:val="96"/>
      <w:szCs w:val="96"/>
    </w:rPr>
  </w:style>
  <w:style w:type="paragraph" w:styleId="para12">
    <w:name w:val="Subtitle"/>
    <w:qFormat/>
    <w:basedOn w:val="para0"/>
    <w:next w:val="para0"/>
    <w:pPr>
      <w:spacing w:after="240"/>
    </w:pPr>
    <w:rPr>
      <w:caps/>
      <w:color w:val="404040"/>
      <w:spacing w:val="20" w:percent="116"/>
      <w:sz w:val="28"/>
      <w:szCs w:val="28"/>
    </w:rPr>
  </w:style>
  <w:style w:type="paragraph" w:styleId="para13">
    <w:name w:val="No Spacing"/>
    <w:qFormat/>
    <w:pPr>
      <w:spacing w:after="0" w:line="240" w:lineRule="auto"/>
    </w:pPr>
    <w:rPr>
      <w:rFonts w:ascii="Calibri" w:hAnsi="Calibri" w:eastAsia="Calibri" w:cs="Calibri"/>
      <w:sz w:val="21"/>
      <w:szCs w:val="21"/>
      <w:lang w:val="cs-cz" w:eastAsia="en-us" w:bidi="ar-sa"/>
    </w:rPr>
  </w:style>
  <w:style w:type="paragraph" w:styleId="para14">
    <w:name w:val="Quote"/>
    <w:qFormat/>
    <w:basedOn w:val="para0"/>
    <w:next w:val="para0"/>
    <w:pPr>
      <w:ind w:left="720" w:right="720"/>
      <w:spacing w:before="160"/>
      <w:jc w:val="center"/>
    </w:pPr>
    <w:rPr>
      <w:rFonts w:ascii="Calibri Light" w:hAnsi="Calibri Light" w:eastAsia="Calibri Light" w:cs="Calibri Light"/>
      <w:color w:val="000000"/>
      <w:sz w:val="24"/>
      <w:szCs w:val="24"/>
    </w:rPr>
  </w:style>
  <w:style w:type="paragraph" w:styleId="para15">
    <w:name w:val="Intense Quote"/>
    <w:qFormat/>
    <w:basedOn w:val="para0"/>
    <w:next w:val="para0"/>
    <w:pPr>
      <w:ind w:left="936" w:right="936"/>
      <w:spacing w:before="240" w:after="240" w:line="240" w:lineRule="auto"/>
      <w:jc w:val="center"/>
      <w:pBdr>
        <w:top w:val="single" w:sz="24" w:space="4" w:color="ED7D31" tmln="60, 20, 20, 0, 8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Calibri Light" w:hAnsi="Calibri Light" w:eastAsia="Calibri Light" w:cs="Calibri Light"/>
      <w:sz w:val="24"/>
      <w:szCs w:val="24"/>
    </w:rPr>
  </w:style>
  <w:style w:type="paragraph" w:styleId="para16">
    <w:name w:val="TOC Heading"/>
    <w:qFormat/>
    <w:basedOn w:val="para1"/>
    <w:next w:val="para0"/>
    <w:pPr>
      <w:outlineLvl w:val="9"/>
    </w:pPr>
  </w:style>
  <w:style w:type="paragraph" w:styleId="para17">
    <w:name w:val="toc 1"/>
    <w:qFormat/>
    <w:basedOn w:val="para0"/>
    <w:next w:val="para0"/>
    <w:pPr>
      <w:spacing w:after="100"/>
    </w:pPr>
  </w:style>
  <w:style w:type="paragraph" w:styleId="para18">
    <w:name w:val="toc 2"/>
    <w:qFormat/>
    <w:basedOn w:val="para0"/>
    <w:next w:val="para0"/>
    <w:pPr>
      <w:ind w:left="210"/>
      <w:spacing w:after="100"/>
    </w:pPr>
  </w:style>
  <w:style w:type="paragraph" w:styleId="para19">
    <w:name w:val="List Paragraph"/>
    <w:qFormat/>
    <w:basedOn w:val="para0"/>
    <w:pPr>
      <w:ind w:left="720"/>
      <w:contextualSpacing/>
    </w:pPr>
  </w:style>
  <w:style w:type="paragraph" w:styleId="para20" w:customStyle="1">
    <w:name w:val="Formátovaný odstavec"/>
    <w:qFormat/>
    <w:basedOn w:val="para0"/>
    <w:next w:val="para0"/>
    <w:pPr>
      <w:spacing w:before="120" w:after="120"/>
      <w:jc w:val="both"/>
    </w:pPr>
    <w:rPr>
      <w:rFonts w:ascii="Times New Roman" w:hAnsi="Times New Roman" w:eastAsia="Times New Roman" w:cs="Times New Roman"/>
      <w:sz w:val="24"/>
      <w:szCs w:val="24"/>
      <w:lang w:eastAsia="cs-cz" w:bidi="cs-cz"/>
    </w:rPr>
  </w:style>
  <w:style w:type="character" w:styleId="char0" w:default="1">
    <w:name w:val="Default Paragraph Font"/>
  </w:style>
  <w:style w:type="character" w:styleId="char1" w:customStyle="1">
    <w:name w:val="Nadpis 1 Char"/>
    <w:basedOn w:val="char0"/>
    <w:rPr>
      <w:rFonts w:ascii="Arial" w:hAnsi="Arial" w:eastAsia="Calibri Light" w:cs="Calibri Light"/>
      <w:color w:val="00b050"/>
      <w:sz w:val="40"/>
      <w:szCs w:val="40"/>
    </w:rPr>
  </w:style>
  <w:style w:type="character" w:styleId="char2" w:customStyle="1">
    <w:name w:val="Nadpis 2 Char"/>
    <w:basedOn w:val="char0"/>
    <w:rPr>
      <w:rFonts w:ascii="Calibri Light" w:hAnsi="Calibri Light" w:eastAsia="Calibri Light" w:cs="Calibri Light"/>
      <w:color w:val="ed7d31"/>
      <w:sz w:val="36"/>
      <w:szCs w:val="36"/>
    </w:rPr>
  </w:style>
  <w:style w:type="character" w:styleId="char3" w:customStyle="1">
    <w:name w:val="Nadpis 3 Char"/>
    <w:basedOn w:val="char0"/>
    <w:rPr>
      <w:rFonts w:ascii="Calibri Light" w:hAnsi="Calibri Light" w:eastAsia="Calibri Light" w:cs="Calibri Light"/>
      <w:color w:val="c45911"/>
      <w:sz w:val="32"/>
      <w:szCs w:val="32"/>
    </w:rPr>
  </w:style>
  <w:style w:type="character" w:styleId="char4" w:customStyle="1">
    <w:name w:val="Nadpis 4 Char"/>
    <w:basedOn w:val="char0"/>
    <w:rPr>
      <w:rFonts w:ascii="Calibri Light" w:hAnsi="Calibri Light" w:eastAsia="Calibri Light" w:cs="Calibri Light"/>
      <w:i/>
      <w:iCs/>
      <w:color w:val="833c0b"/>
      <w:sz w:val="28"/>
      <w:szCs w:val="28"/>
    </w:rPr>
  </w:style>
  <w:style w:type="character" w:styleId="char5" w:customStyle="1">
    <w:name w:val="Nadpis 5 Char"/>
    <w:basedOn w:val="char0"/>
    <w:rPr>
      <w:rFonts w:ascii="Calibri Light" w:hAnsi="Calibri Light" w:eastAsia="Calibri Light" w:cs="Calibri Light"/>
      <w:color w:val="c45911"/>
      <w:sz w:val="24"/>
      <w:szCs w:val="24"/>
    </w:rPr>
  </w:style>
  <w:style w:type="character" w:styleId="char6" w:customStyle="1">
    <w:name w:val="Nadpis 6 Char"/>
    <w:basedOn w:val="char0"/>
    <w:rPr>
      <w:rFonts w:ascii="Calibri Light" w:hAnsi="Calibri Light" w:eastAsia="Calibri Light" w:cs="Calibri Light"/>
      <w:i/>
      <w:iCs/>
      <w:color w:val="833c0b"/>
      <w:sz w:val="24"/>
      <w:szCs w:val="24"/>
    </w:rPr>
  </w:style>
  <w:style w:type="character" w:styleId="char7" w:customStyle="1">
    <w:name w:val="Nadpis 7 Char"/>
    <w:basedOn w:val="char0"/>
    <w:rPr>
      <w:rFonts w:ascii="Calibri Light" w:hAnsi="Calibri Light" w:eastAsia="Calibri Light" w:cs="Calibri Light"/>
      <w:b/>
      <w:bCs/>
      <w:color w:val="833c0b"/>
      <w:sz w:val="22"/>
      <w:szCs w:val="22"/>
    </w:rPr>
  </w:style>
  <w:style w:type="character" w:styleId="char8" w:customStyle="1">
    <w:name w:val="Nadpis 8 Char"/>
    <w:basedOn w:val="char0"/>
    <w:rPr>
      <w:rFonts w:ascii="Calibri Light" w:hAnsi="Calibri Light" w:eastAsia="Calibri Light" w:cs="Calibri Light"/>
      <w:color w:val="833c0b"/>
      <w:sz w:val="22"/>
      <w:szCs w:val="22"/>
    </w:rPr>
  </w:style>
  <w:style w:type="character" w:styleId="char9" w:customStyle="1">
    <w:name w:val="Nadpis 9 Char"/>
    <w:basedOn w:val="char0"/>
    <w:rPr>
      <w:rFonts w:ascii="Calibri Light" w:hAnsi="Calibri Light" w:eastAsia="Calibri Light" w:cs="Calibri Light"/>
      <w:i/>
      <w:iCs/>
      <w:color w:val="833c0b"/>
      <w:sz w:val="22"/>
      <w:szCs w:val="22"/>
    </w:rPr>
  </w:style>
  <w:style w:type="character" w:styleId="char10" w:customStyle="1">
    <w:name w:val="Název Char"/>
    <w:basedOn w:val="char0"/>
    <w:rPr>
      <w:rFonts w:ascii="Calibri Light" w:hAnsi="Calibri Light" w:eastAsia="Calibri Light" w:cs="Calibri Light"/>
      <w:color w:val="262626"/>
      <w:sz w:val="96"/>
      <w:szCs w:val="96"/>
    </w:rPr>
  </w:style>
  <w:style w:type="character" w:styleId="char11" w:customStyle="1">
    <w:name w:val="Podnadpis Char"/>
    <w:basedOn w:val="char0"/>
    <w:rPr>
      <w:caps/>
      <w:color w:val="404040"/>
      <w:spacing w:val="20" w:percent="116"/>
      <w:sz w:val="28"/>
      <w:szCs w:val="28"/>
    </w:rPr>
  </w:style>
  <w:style w:type="character" w:styleId="char12">
    <w:name w:val="Strong"/>
    <w:basedOn w:val="char0"/>
    <w:rPr>
      <w:b/>
      <w:bCs/>
    </w:rPr>
  </w:style>
  <w:style w:type="character" w:styleId="char13">
    <w:name w:val="Emphasis"/>
    <w:basedOn w:val="char0"/>
    <w:rPr>
      <w:i/>
      <w:iCs/>
      <w:color w:val="000000"/>
    </w:rPr>
  </w:style>
  <w:style w:type="character" w:styleId="char14" w:customStyle="1">
    <w:name w:val="Citát Char"/>
    <w:basedOn w:val="char0"/>
    <w:rPr>
      <w:rFonts w:ascii="Calibri Light" w:hAnsi="Calibri Light" w:eastAsia="Calibri Light" w:cs="Calibri Light"/>
      <w:color w:val="000000"/>
      <w:sz w:val="24"/>
      <w:szCs w:val="24"/>
    </w:rPr>
  </w:style>
  <w:style w:type="character" w:styleId="char15" w:customStyle="1">
    <w:name w:val="Výrazný citát Char"/>
    <w:basedOn w:val="char0"/>
    <w:rPr>
      <w:rFonts w:ascii="Calibri Light" w:hAnsi="Calibri Light" w:eastAsia="Calibri Light" w:cs="Calibri Light"/>
      <w:sz w:val="24"/>
      <w:szCs w:val="24"/>
    </w:rPr>
  </w:style>
  <w:style w:type="character" w:styleId="char16">
    <w:name w:val="Subtle Emphasis"/>
    <w:basedOn w:val="char0"/>
    <w:rPr>
      <w:i/>
      <w:iCs/>
      <w:color w:val="595959"/>
    </w:rPr>
  </w:style>
  <w:style w:type="character" w:styleId="char17">
    <w:name w:val="Intense Emphasis"/>
    <w:basedOn w:val="char0"/>
    <w:rPr>
      <w:b/>
      <w:bCs/>
      <w:i/>
      <w:iCs/>
      <w:caps w:val="0"/>
      <w:smallCaps w:val="0"/>
      <w:strike w:val="0"/>
      <w:dstrike w:val="0"/>
      <w:color w:val="ed7d31"/>
    </w:rPr>
  </w:style>
  <w:style w:type="character" w:styleId="char18">
    <w:name w:val="Subtle Reference"/>
    <w:basedOn w:val="char0"/>
    <w:rPr>
      <w:caps w:val="0"/>
      <w:smallCaps w:percent="80"/>
      <w:color w:val="404040"/>
      <w:spacing w:val="0" w:percent="100"/>
      <w:u w:color="7f7f7f" w:val="single"/>
    </w:rPr>
  </w:style>
  <w:style w:type="character" w:styleId="char19">
    <w:name w:val="Intense Reference"/>
    <w:basedOn w:val="char0"/>
    <w:rPr>
      <w:b/>
      <w:bCs/>
      <w:caps w:val="0"/>
      <w:smallCaps w:percent="80"/>
      <w:color w:val="auto"/>
      <w:spacing w:val="0" w:percent="100"/>
      <w:u w:color="auto" w:val="single"/>
    </w:rPr>
  </w:style>
  <w:style w:type="character" w:styleId="char20">
    <w:name w:val="Book Title"/>
    <w:basedOn w:val="char0"/>
    <w:rPr>
      <w:b/>
      <w:bCs/>
      <w:caps w:val="0"/>
      <w:smallCaps w:percent="80"/>
      <w:spacing w:val="0" w:percent="100"/>
    </w:rPr>
  </w:style>
  <w:style w:type="character" w:styleId="char21">
    <w:name w:val="Hyperlink"/>
    <w:basedOn w:val="char0"/>
    <w:rPr>
      <w:color w:val="0563c1"/>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1"/>
        <w:szCs w:val="21"/>
        <w:lang w:val="cs-cz" w:eastAsia="en-us" w:bidi="ar-sa"/>
      </w:rPr>
    </w:rPrDefault>
    <w:pPrDefault>
      <w:pPr>
        <w:spacing w:after="16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22"/>
      </w:numPr>
      <w:ind w:left="360" w:hanging="360"/>
      <w:spacing w:before="360" w:after="120" w:line="240" w:lineRule="auto"/>
      <w:pageBreakBefore/>
      <w:keepNext/>
      <w:outlineLvl w:val="0"/>
      <w:keepLines/>
      <w:pBdr>
        <w:top w:val="nil" w:sz="0" w:space="3" w:color="000000" tmln="20, 20, 20, 0, 60"/>
        <w:left w:val="nil" w:sz="0" w:space="3" w:color="000000" tmln="20, 20, 20, 0, 60"/>
        <w:bottom w:val="single" w:sz="8" w:space="1" w:color="00B050" tmln="20, 20, 20, 0, 20"/>
        <w:right w:val="nil" w:sz="0" w:space="3" w:color="000000" tmln="20, 20, 20, 0, 60"/>
        <w:between w:val="nil" w:sz="0" w:space="0" w:color="000000" tmln="20, 20, 20, 0, 0"/>
      </w:pBdr>
      <w:shd w:val="none"/>
    </w:pPr>
    <w:rPr>
      <w:rFonts w:ascii="Arial" w:hAnsi="Arial" w:eastAsia="Calibri Light" w:cs="Calibri Light"/>
      <w:color w:val="00b050"/>
      <w:sz w:val="40"/>
      <w:szCs w:val="40"/>
    </w:rPr>
  </w:style>
  <w:style w:type="paragraph" w:styleId="para2">
    <w:name w:val="heading 2"/>
    <w:qFormat/>
    <w:basedOn w:val="para0"/>
    <w:next w:val="para0"/>
    <w:pPr>
      <w:numPr>
        <w:ilvl w:val="0"/>
        <w:numId w:val="23"/>
      </w:numPr>
      <w:ind w:left="360" w:hanging="360"/>
      <w:spacing w:before="120" w:after="0" w:line="240" w:lineRule="auto"/>
      <w:keepNext/>
      <w:outlineLvl w:val="1"/>
      <w:keepLines/>
    </w:pPr>
    <w:rPr>
      <w:rFonts w:ascii="Calibri Light" w:hAnsi="Calibri Light" w:eastAsia="Calibri Light" w:cs="Calibri Light"/>
      <w:color w:val="ed7d31"/>
      <w:sz w:val="36"/>
      <w:szCs w:val="36"/>
    </w:rPr>
  </w:style>
  <w:style w:type="paragraph" w:styleId="para3">
    <w:name w:val="heading 3"/>
    <w:qFormat/>
    <w:basedOn w:val="para0"/>
    <w:next w:val="para0"/>
    <w:pPr>
      <w:spacing w:before="80" w:after="0" w:line="240" w:lineRule="auto"/>
      <w:keepNext/>
      <w:outlineLvl w:val="2"/>
      <w:keepLines/>
    </w:pPr>
    <w:rPr>
      <w:rFonts w:ascii="Calibri Light" w:hAnsi="Calibri Light" w:eastAsia="Calibri Light" w:cs="Calibri Light"/>
      <w:color w:val="c45911"/>
      <w:sz w:val="32"/>
      <w:szCs w:val="32"/>
    </w:rPr>
  </w:style>
  <w:style w:type="paragraph" w:styleId="para4">
    <w:name w:val="heading 4"/>
    <w:qFormat/>
    <w:basedOn w:val="para0"/>
    <w:next w:val="para0"/>
    <w:pPr>
      <w:spacing w:before="80" w:after="0" w:line="240" w:lineRule="auto"/>
      <w:keepNext/>
      <w:outlineLvl w:val="3"/>
      <w:keepLines/>
    </w:pPr>
    <w:rPr>
      <w:rFonts w:ascii="Calibri Light" w:hAnsi="Calibri Light" w:eastAsia="Calibri Light" w:cs="Calibri Light"/>
      <w:i/>
      <w:iCs/>
      <w:color w:val="833c0b"/>
      <w:sz w:val="28"/>
      <w:szCs w:val="28"/>
    </w:rPr>
  </w:style>
  <w:style w:type="paragraph" w:styleId="para5">
    <w:name w:val="heading 5"/>
    <w:qFormat/>
    <w:basedOn w:val="para0"/>
    <w:next w:val="para0"/>
    <w:pPr>
      <w:spacing w:before="80" w:after="0" w:line="240" w:lineRule="auto"/>
      <w:keepNext/>
      <w:outlineLvl w:val="4"/>
      <w:keepLines/>
    </w:pPr>
    <w:rPr>
      <w:rFonts w:ascii="Calibri Light" w:hAnsi="Calibri Light" w:eastAsia="Calibri Light" w:cs="Calibri Light"/>
      <w:color w:val="c45911"/>
      <w:sz w:val="24"/>
      <w:szCs w:val="24"/>
    </w:rPr>
  </w:style>
  <w:style w:type="paragraph" w:styleId="para6">
    <w:name w:val="heading 6"/>
    <w:qFormat/>
    <w:basedOn w:val="para0"/>
    <w:next w:val="para0"/>
    <w:pPr>
      <w:spacing w:before="80" w:after="0" w:line="240" w:lineRule="auto"/>
      <w:keepNext/>
      <w:outlineLvl w:val="5"/>
      <w:keepLines/>
    </w:pPr>
    <w:rPr>
      <w:rFonts w:ascii="Calibri Light" w:hAnsi="Calibri Light" w:eastAsia="Calibri Light" w:cs="Calibri Light"/>
      <w:i/>
      <w:iCs/>
      <w:color w:val="833c0b"/>
      <w:sz w:val="24"/>
      <w:szCs w:val="24"/>
    </w:rPr>
  </w:style>
  <w:style w:type="paragraph" w:styleId="para7">
    <w:name w:val="heading 7"/>
    <w:qFormat/>
    <w:basedOn w:val="para0"/>
    <w:next w:val="para0"/>
    <w:pPr>
      <w:spacing w:before="80" w:after="0" w:line="240" w:lineRule="auto"/>
      <w:keepNext/>
      <w:outlineLvl w:val="6"/>
      <w:keepLines/>
    </w:pPr>
    <w:rPr>
      <w:rFonts w:ascii="Calibri Light" w:hAnsi="Calibri Light" w:eastAsia="Calibri Light" w:cs="Calibri Light"/>
      <w:b/>
      <w:bCs/>
      <w:color w:val="833c0b"/>
      <w:sz w:val="22"/>
      <w:szCs w:val="22"/>
    </w:rPr>
  </w:style>
  <w:style w:type="paragraph" w:styleId="para8">
    <w:name w:val="heading 8"/>
    <w:qFormat/>
    <w:basedOn w:val="para0"/>
    <w:next w:val="para0"/>
    <w:pPr>
      <w:spacing w:before="80" w:after="0" w:line="240" w:lineRule="auto"/>
      <w:keepNext/>
      <w:outlineLvl w:val="7"/>
      <w:keepLines/>
    </w:pPr>
    <w:rPr>
      <w:rFonts w:ascii="Calibri Light" w:hAnsi="Calibri Light" w:eastAsia="Calibri Light" w:cs="Calibri Light"/>
      <w:color w:val="833c0b"/>
      <w:sz w:val="22"/>
      <w:szCs w:val="22"/>
    </w:rPr>
  </w:style>
  <w:style w:type="paragraph" w:styleId="para9">
    <w:name w:val="heading 9"/>
    <w:qFormat/>
    <w:basedOn w:val="para0"/>
    <w:next w:val="para0"/>
    <w:pPr>
      <w:spacing w:before="80" w:after="0" w:line="240" w:lineRule="auto"/>
      <w:keepNext/>
      <w:outlineLvl w:val="8"/>
      <w:keepLines/>
    </w:pPr>
    <w:rPr>
      <w:rFonts w:ascii="Calibri Light" w:hAnsi="Calibri Light" w:eastAsia="Calibri Light" w:cs="Calibri Light"/>
      <w:i/>
      <w:iCs/>
      <w:color w:val="833c0b"/>
      <w:sz w:val="22"/>
      <w:szCs w:val="22"/>
    </w:rPr>
  </w:style>
  <w:style w:type="paragraph" w:styleId="para10">
    <w:name w:val="caption"/>
    <w:qFormat/>
    <w:basedOn w:val="para0"/>
    <w:next w:val="para0"/>
    <w:pPr>
      <w:spacing w:line="240" w:lineRule="auto"/>
    </w:pPr>
    <w:rPr>
      <w:b/>
      <w:bCs/>
      <w:color w:val="404040"/>
      <w:sz w:val="16"/>
      <w:szCs w:val="16"/>
    </w:rPr>
  </w:style>
  <w:style w:type="paragraph" w:styleId="para11">
    <w:name w:val="Title"/>
    <w:qFormat/>
    <w:basedOn w:val="para0"/>
    <w:next w:val="para0"/>
    <w:pPr>
      <w:spacing w:after="0" w:line="240" w:lineRule="auto"/>
      <w:contextualSpacing/>
    </w:pPr>
    <w:rPr>
      <w:rFonts w:ascii="Calibri Light" w:hAnsi="Calibri Light" w:eastAsia="Calibri Light" w:cs="Calibri Light"/>
      <w:color w:val="262626"/>
      <w:sz w:val="96"/>
      <w:szCs w:val="96"/>
    </w:rPr>
  </w:style>
  <w:style w:type="paragraph" w:styleId="para12">
    <w:name w:val="Subtitle"/>
    <w:qFormat/>
    <w:basedOn w:val="para0"/>
    <w:next w:val="para0"/>
    <w:pPr>
      <w:spacing w:after="240"/>
    </w:pPr>
    <w:rPr>
      <w:caps/>
      <w:color w:val="404040"/>
      <w:spacing w:val="20" w:percent="116"/>
      <w:sz w:val="28"/>
      <w:szCs w:val="28"/>
    </w:rPr>
  </w:style>
  <w:style w:type="paragraph" w:styleId="para13">
    <w:name w:val="No Spacing"/>
    <w:qFormat/>
    <w:pPr>
      <w:spacing w:after="0" w:line="240" w:lineRule="auto"/>
    </w:pPr>
    <w:rPr>
      <w:rFonts w:ascii="Calibri" w:hAnsi="Calibri" w:eastAsia="Calibri" w:cs="Calibri"/>
      <w:sz w:val="21"/>
      <w:szCs w:val="21"/>
      <w:lang w:val="cs-cz" w:eastAsia="en-us" w:bidi="ar-sa"/>
    </w:rPr>
  </w:style>
  <w:style w:type="paragraph" w:styleId="para14">
    <w:name w:val="Quote"/>
    <w:qFormat/>
    <w:basedOn w:val="para0"/>
    <w:next w:val="para0"/>
    <w:pPr>
      <w:ind w:left="720" w:right="720"/>
      <w:spacing w:before="160"/>
      <w:jc w:val="center"/>
    </w:pPr>
    <w:rPr>
      <w:rFonts w:ascii="Calibri Light" w:hAnsi="Calibri Light" w:eastAsia="Calibri Light" w:cs="Calibri Light"/>
      <w:color w:val="000000"/>
      <w:sz w:val="24"/>
      <w:szCs w:val="24"/>
    </w:rPr>
  </w:style>
  <w:style w:type="paragraph" w:styleId="para15">
    <w:name w:val="Intense Quote"/>
    <w:qFormat/>
    <w:basedOn w:val="para0"/>
    <w:next w:val="para0"/>
    <w:pPr>
      <w:ind w:left="936" w:right="936"/>
      <w:spacing w:before="240" w:after="240" w:line="240" w:lineRule="auto"/>
      <w:jc w:val="center"/>
      <w:pBdr>
        <w:top w:val="single" w:sz="24" w:space="4" w:color="ED7D31" tmln="60, 20, 20, 0, 8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Calibri Light" w:hAnsi="Calibri Light" w:eastAsia="Calibri Light" w:cs="Calibri Light"/>
      <w:sz w:val="24"/>
      <w:szCs w:val="24"/>
    </w:rPr>
  </w:style>
  <w:style w:type="paragraph" w:styleId="para16">
    <w:name w:val="TOC Heading"/>
    <w:qFormat/>
    <w:basedOn w:val="para1"/>
    <w:next w:val="para0"/>
    <w:pPr>
      <w:outlineLvl w:val="9"/>
    </w:pPr>
  </w:style>
  <w:style w:type="paragraph" w:styleId="para17">
    <w:name w:val="toc 1"/>
    <w:qFormat/>
    <w:basedOn w:val="para0"/>
    <w:next w:val="para0"/>
    <w:pPr>
      <w:spacing w:after="100"/>
    </w:pPr>
  </w:style>
  <w:style w:type="paragraph" w:styleId="para18">
    <w:name w:val="toc 2"/>
    <w:qFormat/>
    <w:basedOn w:val="para0"/>
    <w:next w:val="para0"/>
    <w:pPr>
      <w:ind w:left="210"/>
      <w:spacing w:after="100"/>
    </w:pPr>
  </w:style>
  <w:style w:type="paragraph" w:styleId="para19">
    <w:name w:val="List Paragraph"/>
    <w:qFormat/>
    <w:basedOn w:val="para0"/>
    <w:pPr>
      <w:ind w:left="720"/>
      <w:contextualSpacing/>
    </w:pPr>
  </w:style>
  <w:style w:type="paragraph" w:styleId="para20" w:customStyle="1">
    <w:name w:val="Formátovaný odstavec"/>
    <w:qFormat/>
    <w:basedOn w:val="para0"/>
    <w:next w:val="para0"/>
    <w:pPr>
      <w:spacing w:before="120" w:after="120"/>
      <w:jc w:val="both"/>
    </w:pPr>
    <w:rPr>
      <w:rFonts w:ascii="Times New Roman" w:hAnsi="Times New Roman" w:eastAsia="Times New Roman" w:cs="Times New Roman"/>
      <w:sz w:val="24"/>
      <w:szCs w:val="24"/>
      <w:lang w:eastAsia="cs-cz" w:bidi="cs-cz"/>
    </w:rPr>
  </w:style>
  <w:style w:type="character" w:styleId="char0" w:default="1">
    <w:name w:val="Default Paragraph Font"/>
  </w:style>
  <w:style w:type="character" w:styleId="char1" w:customStyle="1">
    <w:name w:val="Nadpis 1 Char"/>
    <w:basedOn w:val="char0"/>
    <w:rPr>
      <w:rFonts w:ascii="Arial" w:hAnsi="Arial" w:eastAsia="Calibri Light" w:cs="Calibri Light"/>
      <w:color w:val="00b050"/>
      <w:sz w:val="40"/>
      <w:szCs w:val="40"/>
    </w:rPr>
  </w:style>
  <w:style w:type="character" w:styleId="char2" w:customStyle="1">
    <w:name w:val="Nadpis 2 Char"/>
    <w:basedOn w:val="char0"/>
    <w:rPr>
      <w:rFonts w:ascii="Calibri Light" w:hAnsi="Calibri Light" w:eastAsia="Calibri Light" w:cs="Calibri Light"/>
      <w:color w:val="ed7d31"/>
      <w:sz w:val="36"/>
      <w:szCs w:val="36"/>
    </w:rPr>
  </w:style>
  <w:style w:type="character" w:styleId="char3" w:customStyle="1">
    <w:name w:val="Nadpis 3 Char"/>
    <w:basedOn w:val="char0"/>
    <w:rPr>
      <w:rFonts w:ascii="Calibri Light" w:hAnsi="Calibri Light" w:eastAsia="Calibri Light" w:cs="Calibri Light"/>
      <w:color w:val="c45911"/>
      <w:sz w:val="32"/>
      <w:szCs w:val="32"/>
    </w:rPr>
  </w:style>
  <w:style w:type="character" w:styleId="char4" w:customStyle="1">
    <w:name w:val="Nadpis 4 Char"/>
    <w:basedOn w:val="char0"/>
    <w:rPr>
      <w:rFonts w:ascii="Calibri Light" w:hAnsi="Calibri Light" w:eastAsia="Calibri Light" w:cs="Calibri Light"/>
      <w:i/>
      <w:iCs/>
      <w:color w:val="833c0b"/>
      <w:sz w:val="28"/>
      <w:szCs w:val="28"/>
    </w:rPr>
  </w:style>
  <w:style w:type="character" w:styleId="char5" w:customStyle="1">
    <w:name w:val="Nadpis 5 Char"/>
    <w:basedOn w:val="char0"/>
    <w:rPr>
      <w:rFonts w:ascii="Calibri Light" w:hAnsi="Calibri Light" w:eastAsia="Calibri Light" w:cs="Calibri Light"/>
      <w:color w:val="c45911"/>
      <w:sz w:val="24"/>
      <w:szCs w:val="24"/>
    </w:rPr>
  </w:style>
  <w:style w:type="character" w:styleId="char6" w:customStyle="1">
    <w:name w:val="Nadpis 6 Char"/>
    <w:basedOn w:val="char0"/>
    <w:rPr>
      <w:rFonts w:ascii="Calibri Light" w:hAnsi="Calibri Light" w:eastAsia="Calibri Light" w:cs="Calibri Light"/>
      <w:i/>
      <w:iCs/>
      <w:color w:val="833c0b"/>
      <w:sz w:val="24"/>
      <w:szCs w:val="24"/>
    </w:rPr>
  </w:style>
  <w:style w:type="character" w:styleId="char7" w:customStyle="1">
    <w:name w:val="Nadpis 7 Char"/>
    <w:basedOn w:val="char0"/>
    <w:rPr>
      <w:rFonts w:ascii="Calibri Light" w:hAnsi="Calibri Light" w:eastAsia="Calibri Light" w:cs="Calibri Light"/>
      <w:b/>
      <w:bCs/>
      <w:color w:val="833c0b"/>
      <w:sz w:val="22"/>
      <w:szCs w:val="22"/>
    </w:rPr>
  </w:style>
  <w:style w:type="character" w:styleId="char8" w:customStyle="1">
    <w:name w:val="Nadpis 8 Char"/>
    <w:basedOn w:val="char0"/>
    <w:rPr>
      <w:rFonts w:ascii="Calibri Light" w:hAnsi="Calibri Light" w:eastAsia="Calibri Light" w:cs="Calibri Light"/>
      <w:color w:val="833c0b"/>
      <w:sz w:val="22"/>
      <w:szCs w:val="22"/>
    </w:rPr>
  </w:style>
  <w:style w:type="character" w:styleId="char9" w:customStyle="1">
    <w:name w:val="Nadpis 9 Char"/>
    <w:basedOn w:val="char0"/>
    <w:rPr>
      <w:rFonts w:ascii="Calibri Light" w:hAnsi="Calibri Light" w:eastAsia="Calibri Light" w:cs="Calibri Light"/>
      <w:i/>
      <w:iCs/>
      <w:color w:val="833c0b"/>
      <w:sz w:val="22"/>
      <w:szCs w:val="22"/>
    </w:rPr>
  </w:style>
  <w:style w:type="character" w:styleId="char10" w:customStyle="1">
    <w:name w:val="Název Char"/>
    <w:basedOn w:val="char0"/>
    <w:rPr>
      <w:rFonts w:ascii="Calibri Light" w:hAnsi="Calibri Light" w:eastAsia="Calibri Light" w:cs="Calibri Light"/>
      <w:color w:val="262626"/>
      <w:sz w:val="96"/>
      <w:szCs w:val="96"/>
    </w:rPr>
  </w:style>
  <w:style w:type="character" w:styleId="char11" w:customStyle="1">
    <w:name w:val="Podnadpis Char"/>
    <w:basedOn w:val="char0"/>
    <w:rPr>
      <w:caps/>
      <w:color w:val="404040"/>
      <w:spacing w:val="20" w:percent="116"/>
      <w:sz w:val="28"/>
      <w:szCs w:val="28"/>
    </w:rPr>
  </w:style>
  <w:style w:type="character" w:styleId="char12">
    <w:name w:val="Strong"/>
    <w:basedOn w:val="char0"/>
    <w:rPr>
      <w:b/>
      <w:bCs/>
    </w:rPr>
  </w:style>
  <w:style w:type="character" w:styleId="char13">
    <w:name w:val="Emphasis"/>
    <w:basedOn w:val="char0"/>
    <w:rPr>
      <w:i/>
      <w:iCs/>
      <w:color w:val="000000"/>
    </w:rPr>
  </w:style>
  <w:style w:type="character" w:styleId="char14" w:customStyle="1">
    <w:name w:val="Citát Char"/>
    <w:basedOn w:val="char0"/>
    <w:rPr>
      <w:rFonts w:ascii="Calibri Light" w:hAnsi="Calibri Light" w:eastAsia="Calibri Light" w:cs="Calibri Light"/>
      <w:color w:val="000000"/>
      <w:sz w:val="24"/>
      <w:szCs w:val="24"/>
    </w:rPr>
  </w:style>
  <w:style w:type="character" w:styleId="char15" w:customStyle="1">
    <w:name w:val="Výrazný citát Char"/>
    <w:basedOn w:val="char0"/>
    <w:rPr>
      <w:rFonts w:ascii="Calibri Light" w:hAnsi="Calibri Light" w:eastAsia="Calibri Light" w:cs="Calibri Light"/>
      <w:sz w:val="24"/>
      <w:szCs w:val="24"/>
    </w:rPr>
  </w:style>
  <w:style w:type="character" w:styleId="char16">
    <w:name w:val="Subtle Emphasis"/>
    <w:basedOn w:val="char0"/>
    <w:rPr>
      <w:i/>
      <w:iCs/>
      <w:color w:val="595959"/>
    </w:rPr>
  </w:style>
  <w:style w:type="character" w:styleId="char17">
    <w:name w:val="Intense Emphasis"/>
    <w:basedOn w:val="char0"/>
    <w:rPr>
      <w:b/>
      <w:bCs/>
      <w:i/>
      <w:iCs/>
      <w:caps w:val="0"/>
      <w:smallCaps w:val="0"/>
      <w:strike w:val="0"/>
      <w:dstrike w:val="0"/>
      <w:color w:val="ed7d31"/>
    </w:rPr>
  </w:style>
  <w:style w:type="character" w:styleId="char18">
    <w:name w:val="Subtle Reference"/>
    <w:basedOn w:val="char0"/>
    <w:rPr>
      <w:caps w:val="0"/>
      <w:smallCaps w:percent="80"/>
      <w:color w:val="404040"/>
      <w:spacing w:val="0" w:percent="100"/>
      <w:u w:color="7f7f7f" w:val="single"/>
    </w:rPr>
  </w:style>
  <w:style w:type="character" w:styleId="char19">
    <w:name w:val="Intense Reference"/>
    <w:basedOn w:val="char0"/>
    <w:rPr>
      <w:b/>
      <w:bCs/>
      <w:caps w:val="0"/>
      <w:smallCaps w:percent="80"/>
      <w:color w:val="auto"/>
      <w:spacing w:val="0" w:percent="100"/>
      <w:u w:color="auto" w:val="single"/>
    </w:rPr>
  </w:style>
  <w:style w:type="character" w:styleId="char20">
    <w:name w:val="Book Title"/>
    <w:basedOn w:val="char0"/>
    <w:rPr>
      <w:b/>
      <w:bCs/>
      <w:caps w:val="0"/>
      <w:smallCaps w:percent="80"/>
      <w:spacing w:val="0" w:percent="100"/>
    </w:rPr>
  </w:style>
  <w:style w:type="character" w:styleId="char21">
    <w:name w:val="Hyperlink"/>
    <w:basedOn w:val="char0"/>
    <w:rPr>
      <w:color w:val="0563c1"/>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POKORNÝ Jakub (L1)</dc:creator>
  <cp:keywords/>
  <dc:description/>
  <cp:lastModifiedBy/>
  <cp:revision>19</cp:revision>
  <dcterms:created xsi:type="dcterms:W3CDTF">2019-12-15T19:57:00Z</dcterms:created>
  <dcterms:modified xsi:type="dcterms:W3CDTF">2026-01-15T18:18:30Z</dcterms:modified>
</cp:coreProperties>
</file>